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7E" w:rsidRDefault="0097537E" w:rsidP="0097537E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97537E" w:rsidRDefault="0097537E" w:rsidP="0097537E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2017年深圳市集成电路卡及集成电路卡</w:t>
      </w:r>
      <w:proofErr w:type="gramStart"/>
      <w:r>
        <w:rPr>
          <w:rFonts w:ascii="黑体" w:eastAsia="黑体" w:hAnsi="黑体" w:hint="eastAsia"/>
          <w:sz w:val="28"/>
          <w:szCs w:val="28"/>
        </w:rPr>
        <w:t>读写机</w:t>
      </w:r>
      <w:proofErr w:type="gramEnd"/>
      <w:r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5000" w:type="pct"/>
        <w:jc w:val="center"/>
        <w:tblLook w:val="04A0"/>
      </w:tblPr>
      <w:tblGrid>
        <w:gridCol w:w="732"/>
        <w:gridCol w:w="3649"/>
        <w:gridCol w:w="2904"/>
        <w:gridCol w:w="1735"/>
        <w:gridCol w:w="1602"/>
        <w:gridCol w:w="1709"/>
        <w:gridCol w:w="1843"/>
      </w:tblGrid>
      <w:tr w:rsidR="0097537E" w:rsidTr="00AA40F0">
        <w:trPr>
          <w:trHeight w:val="54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蓝加科技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蓝加科技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深圳市建和智能卡技术有限公司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2017-9-1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深圳市建和智能卡技术有限公司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2017-9-1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深圳欧贝特卡系统科技有限公司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深圳欧贝特卡系统科技有限公司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深圳市正宏盛智能科技有限公司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深圳市正宏盛智能科技有限公司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亚洲信用卡厂（深圳）有限公司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2017-8-30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亚洲信用卡厂（深圳）有限公司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2017-8-30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正达飞智能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卡有限公司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2017-8-28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正达飞智能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卡有限公司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2017-8-28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拓汇斯科技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（深圳）有限公司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2017-8-30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盛华金卡智能科技（深圳）有限公司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业智能卡有限公司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鑫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业智能卡有限公司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深圳市正华智能科技有限公司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FM4442</w:t>
            </w:r>
            <w:r>
              <w:rPr>
                <w:rFonts w:hint="eastAsia"/>
                <w:color w:val="000000"/>
                <w:sz w:val="18"/>
                <w:szCs w:val="18"/>
              </w:rPr>
              <w:t>接触式</w:t>
            </w: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2017-8-27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深圳市正华智能科技有限公司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</w:t>
            </w:r>
            <w:r>
              <w:rPr>
                <w:rFonts w:hint="eastAsia"/>
                <w:color w:val="000000"/>
                <w:sz w:val="18"/>
                <w:szCs w:val="18"/>
              </w:rPr>
              <w:t>白卡（无触点）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2017-8-27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深圳毅能达金融信息股份有限公司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深圳毅能达金融信息股份有限公司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深圳市卡立方智能科技有限公司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苑斯码特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苑斯码特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深圳信科行智能卡有限公司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卡（带触点）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深圳信科行智能卡有限公司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卡（无触点）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联科技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公交刷卡机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CL1306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联创新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自控系统有限公司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MAX-HP-C34RDB2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科技股份有限公司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直流</w:t>
            </w: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MT119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深圳市证通电子股份有限公司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金卡读写器（含</w:t>
            </w: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卡功能）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ZT606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深圳市天腾实业有限公司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TTCE-M100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深圳市亚略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生物识别科技有限公司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台式居民身份证阅读机具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CID7000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2017-07-15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深圳市西沃智能科技有限公司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SEWO-X6300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深圳市成为信息技术有限公司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多功能驾培学时记录仪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CWJ500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2017-9-1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深圳市方卡科技股份有限公司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非接触式</w:t>
            </w: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感应卡智能收费机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ESF-22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2016-10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深圳市德卡科技股份有限公司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深圳达实信息技术有限公司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DAC</w:t>
            </w:r>
            <w:r>
              <w:rPr>
                <w:rFonts w:hint="eastAsia"/>
                <w:color w:val="000000"/>
                <w:sz w:val="18"/>
                <w:szCs w:val="18"/>
              </w:rPr>
              <w:t>智能卡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DAC XF4100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深圳市纽贝尔电子有限公司龙岗分公司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读卡器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CHD602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深圳市峰华科技有限公司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</w:t>
            </w: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深圳市天毅科技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直流</w:t>
            </w: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TYRW4000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2017-8-24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  <w:tr w:rsidR="0097537E" w:rsidTr="00AA40F0">
        <w:trPr>
          <w:trHeight w:val="6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深圳市驰卡技术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IC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读写机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ACT-A6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同受检单位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37E" w:rsidRDefault="0097537E" w:rsidP="00AA40F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未发现不合格项目</w:t>
            </w:r>
          </w:p>
        </w:tc>
      </w:tr>
    </w:tbl>
    <w:p w:rsidR="003B62DF" w:rsidRDefault="003B62DF"/>
    <w:sectPr w:rsidR="003B62DF" w:rsidSect="009753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67" w:rsidRDefault="00996067" w:rsidP="0097537E">
      <w:r>
        <w:separator/>
      </w:r>
    </w:p>
  </w:endnote>
  <w:endnote w:type="continuationSeparator" w:id="0">
    <w:p w:rsidR="00996067" w:rsidRDefault="00996067" w:rsidP="0097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67" w:rsidRDefault="00996067" w:rsidP="0097537E">
      <w:r>
        <w:separator/>
      </w:r>
    </w:p>
  </w:footnote>
  <w:footnote w:type="continuationSeparator" w:id="0">
    <w:p w:rsidR="00996067" w:rsidRDefault="00996067" w:rsidP="00975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37E"/>
    <w:rsid w:val="003B62DF"/>
    <w:rsid w:val="0097537E"/>
    <w:rsid w:val="0099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2018-01-12T07:42:00Z</dcterms:created>
  <dcterms:modified xsi:type="dcterms:W3CDTF">2018-01-12T07:42:00Z</dcterms:modified>
</cp:coreProperties>
</file>