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r>
        <w:t>6</w:t>
      </w:r>
    </w:p>
    <w:p>
      <w:pPr>
        <w:spacing w:line="60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深圳市市场监督管理局深汕特别合作区</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儿童玩具产品质量监督抽查实施规范</w:t>
      </w:r>
    </w:p>
    <w:p>
      <w:pPr>
        <w:spacing w:line="600" w:lineRule="exact"/>
        <w:jc w:val="center"/>
        <w:rPr>
          <w:rFonts w:ascii="仿宋_GB2312" w:hAnsi="宋体" w:eastAsia="仿宋_GB2312"/>
          <w:sz w:val="28"/>
          <w:szCs w:val="28"/>
        </w:rPr>
      </w:pPr>
      <w:r>
        <w:rPr>
          <w:rFonts w:hint="eastAsia" w:ascii="黑体" w:hAnsi="黑体" w:eastAsia="黑体"/>
          <w:sz w:val="28"/>
        </w:rPr>
        <w:t>编号</w:t>
      </w:r>
      <w:r>
        <w:rPr>
          <w:rFonts w:ascii="黑体" w:hAnsi="黑体" w:eastAsia="黑体"/>
          <w:sz w:val="28"/>
        </w:rPr>
        <w:t>：CCGF-SZ-167-</w:t>
      </w:r>
      <w:r>
        <w:rPr>
          <w:rFonts w:hint="eastAsia" w:ascii="黑体" w:hAnsi="黑体" w:eastAsia="黑体"/>
          <w:sz w:val="28"/>
        </w:rPr>
        <w:t>2020</w:t>
      </w:r>
    </w:p>
    <w:p>
      <w:pPr>
        <w:pStyle w:val="3"/>
      </w:pPr>
      <w:r>
        <w:rPr>
          <w:rFonts w:hint="eastAsia"/>
        </w:rPr>
        <w:t>1 适用范围</w:t>
      </w:r>
    </w:p>
    <w:p>
      <w:pPr>
        <w:snapToGrid w:val="0"/>
        <w:spacing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本规范适用于深圳市深汕特别合作区生产及流通领域儿童玩具产品质量监督抽查。监督抽查产品范围适用于：玩具产品。</w:t>
      </w:r>
    </w:p>
    <w:p>
      <w:pPr>
        <w:snapToGrid w:val="0"/>
        <w:spacing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pStyle w:val="3"/>
      </w:pPr>
      <w:r>
        <w:rPr>
          <w:rFonts w:hint="eastAsia"/>
        </w:rPr>
        <w:t>2</w:t>
      </w:r>
      <w:r>
        <w:t xml:space="preserve"> </w:t>
      </w:r>
      <w:r>
        <w:rPr>
          <w:rFonts w:hint="eastAsia"/>
        </w:rPr>
        <w:t>产品种类</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spacing w:line="540" w:lineRule="exact"/>
        <w:jc w:val="center"/>
        <w:rPr>
          <w:rFonts w:ascii="黑体" w:hAnsi="黑体" w:eastAsia="黑体"/>
          <w:sz w:val="28"/>
          <w:szCs w:val="28"/>
        </w:rPr>
      </w:pPr>
      <w:r>
        <w:rPr>
          <w:rFonts w:hint="eastAsia" w:ascii="黑体" w:hAnsi="黑体" w:eastAsia="黑体"/>
          <w:sz w:val="28"/>
          <w:szCs w:val="28"/>
        </w:rPr>
        <w:t>表1  产品种类</w:t>
      </w:r>
    </w:p>
    <w:tbl>
      <w:tblPr>
        <w:tblStyle w:val="5"/>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eastAsia="仿宋_GB2312" w:cs="宋体"/>
                <w:kern w:val="0"/>
                <w:sz w:val="24"/>
              </w:rPr>
            </w:pPr>
            <w:r>
              <w:rPr>
                <w:rFonts w:hint="eastAsia" w:ascii="仿宋_GB2312" w:eastAsia="仿宋_GB2312" w:cs="宋体"/>
                <w:kern w:val="0"/>
                <w:sz w:val="24"/>
              </w:rPr>
              <w:t>儿童玩具</w:t>
            </w:r>
          </w:p>
        </w:tc>
        <w:tc>
          <w:tcPr>
            <w:tcW w:w="6305" w:type="dxa"/>
            <w:noWrap w:val="0"/>
            <w:vAlign w:val="center"/>
          </w:tcPr>
          <w:p>
            <w:pPr>
              <w:autoSpaceDE w:val="0"/>
              <w:autoSpaceDN w:val="0"/>
              <w:adjustRightInd w:val="0"/>
              <w:spacing w:line="360" w:lineRule="exact"/>
              <w:rPr>
                <w:rFonts w:ascii="仿宋_GB2312" w:eastAsia="仿宋_GB2312" w:cs="宋体"/>
                <w:kern w:val="0"/>
                <w:sz w:val="24"/>
              </w:rPr>
            </w:pPr>
            <w:r>
              <w:rPr>
                <w:rFonts w:ascii="仿宋_GB2312" w:eastAsia="仿宋_GB2312" w:cs="宋体"/>
                <w:kern w:val="0"/>
                <w:sz w:val="24"/>
              </w:rPr>
              <w:t>包括</w:t>
            </w:r>
            <w:r>
              <w:rPr>
                <w:rFonts w:hint="eastAsia" w:ascii="仿宋_GB2312" w:eastAsia="仿宋_GB2312" w:cs="宋体"/>
                <w:kern w:val="0"/>
                <w:sz w:val="24"/>
              </w:rPr>
              <w:t>塑胶玩具、毛绒玩具、木制玩具、纸及纸板玩具、金属玩具、视频玩具、弹射玩具、娃娃玩具、电动玩具、声光玩具、儿童地垫</w:t>
            </w:r>
            <w:r>
              <w:rPr>
                <w:rFonts w:ascii="仿宋_GB2312" w:eastAsia="仿宋_GB2312" w:cs="宋体"/>
                <w:kern w:val="0"/>
                <w:sz w:val="24"/>
              </w:rPr>
              <w:t>等。</w:t>
            </w:r>
          </w:p>
        </w:tc>
      </w:tr>
    </w:tbl>
    <w:p>
      <w:pPr>
        <w:pStyle w:val="3"/>
      </w:pPr>
      <w:r>
        <w:rPr>
          <w:rFonts w:hint="eastAsia"/>
        </w:rPr>
        <w:t>3 术语和定义</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spacing w:line="540" w:lineRule="exact"/>
        <w:jc w:val="center"/>
        <w:rPr>
          <w:rFonts w:ascii="黑体" w:hAnsi="黑体" w:eastAsia="黑体"/>
          <w:sz w:val="28"/>
          <w:szCs w:val="28"/>
        </w:rPr>
      </w:pPr>
      <w:r>
        <w:rPr>
          <w:rFonts w:hint="eastAsia" w:ascii="黑体" w:hAnsi="黑体" w:eastAsia="黑体"/>
          <w:sz w:val="28"/>
          <w:szCs w:val="28"/>
        </w:rPr>
        <w:t>表2  术语和定义</w:t>
      </w:r>
    </w:p>
    <w:tbl>
      <w:tblPr>
        <w:tblStyle w:val="5"/>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snapToGrid w:val="0"/>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儿童玩具</w:t>
            </w:r>
          </w:p>
        </w:tc>
        <w:tc>
          <w:tcPr>
            <w:tcW w:w="6447" w:type="dxa"/>
            <w:noWrap w:val="0"/>
            <w:vAlign w:val="center"/>
          </w:tcPr>
          <w:p>
            <w:pPr>
              <w:pStyle w:val="4"/>
              <w:spacing w:line="360" w:lineRule="exact"/>
              <w:rPr>
                <w:rFonts w:ascii="仿宋_GB2312" w:eastAsia="仿宋_GB2312"/>
              </w:rPr>
            </w:pPr>
            <w:r>
              <w:rPr>
                <w:rFonts w:hint="eastAsia" w:ascii="仿宋_GB2312" w:eastAsia="仿宋_GB2312"/>
              </w:rPr>
              <w:t>儿童</w:t>
            </w:r>
            <w:r>
              <w:rPr>
                <w:rFonts w:ascii="仿宋_GB2312" w:eastAsia="仿宋_GB2312"/>
              </w:rPr>
              <w:t>玩具是指设计或预定供14岁以下儿童玩耍时使用的所有产品和材料。</w:t>
            </w:r>
          </w:p>
        </w:tc>
      </w:tr>
    </w:tbl>
    <w:p>
      <w:pPr>
        <w:pStyle w:val="3"/>
      </w:pPr>
      <w:r>
        <w:rPr>
          <w:rFonts w:hint="eastAsia"/>
        </w:rPr>
        <w:t>4 检验依据</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检验依据见表3。</w:t>
      </w:r>
    </w:p>
    <w:p>
      <w:pPr>
        <w:snapToGrid w:val="0"/>
        <w:spacing w:line="540" w:lineRule="exact"/>
        <w:jc w:val="center"/>
        <w:rPr>
          <w:rFonts w:ascii="黑体" w:hAnsi="黑体" w:eastAsia="黑体"/>
          <w:sz w:val="28"/>
          <w:szCs w:val="28"/>
        </w:rPr>
      </w:pPr>
      <w:r>
        <w:rPr>
          <w:rFonts w:hint="eastAsia" w:ascii="黑体" w:hAnsi="黑体" w:eastAsia="黑体"/>
          <w:sz w:val="28"/>
          <w:szCs w:val="28"/>
        </w:rPr>
        <w:t>表3  检验依据</w:t>
      </w:r>
    </w:p>
    <w:tbl>
      <w:tblPr>
        <w:tblStyle w:val="5"/>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411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93"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110"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4"/>
              <w:spacing w:line="360" w:lineRule="exact"/>
              <w:jc w:val="center"/>
            </w:pPr>
            <w:r>
              <w:rPr>
                <w:rFonts w:ascii="仿宋_GB2312" w:eastAsia="仿宋_GB2312"/>
              </w:rPr>
              <w:t>GB 6675.1-2014</w:t>
            </w:r>
          </w:p>
        </w:tc>
        <w:tc>
          <w:tcPr>
            <w:tcW w:w="4110" w:type="dxa"/>
            <w:noWrap w:val="0"/>
            <w:vAlign w:val="center"/>
          </w:tcPr>
          <w:p>
            <w:pPr>
              <w:pStyle w:val="4"/>
              <w:spacing w:line="360" w:lineRule="exact"/>
              <w:jc w:val="center"/>
            </w:pPr>
            <w:r>
              <w:rPr>
                <w:rFonts w:ascii="仿宋_GB2312" w:eastAsia="仿宋_GB2312"/>
              </w:rPr>
              <w:t>玩具安全 第1部分:基本规范</w:t>
            </w:r>
          </w:p>
        </w:tc>
        <w:tc>
          <w:tcPr>
            <w:tcW w:w="2786" w:type="dxa"/>
            <w:noWrap w:val="0"/>
            <w:vAlign w:val="center"/>
          </w:tcPr>
          <w:p>
            <w:pPr>
              <w:spacing w:line="360" w:lineRule="exact"/>
              <w:jc w:val="center"/>
              <w:rPr>
                <w:rFonts w:ascii="宋体"/>
                <w:sz w:val="24"/>
              </w:rPr>
            </w:pPr>
            <w:r>
              <w:rPr>
                <w:rFonts w:hint="eastAsia" w:ascii="宋体"/>
                <w:sz w:val="24"/>
              </w:rPr>
              <w:sym w:font="Wingdings 2" w:char="F052"/>
            </w:r>
            <w:r>
              <w:rPr>
                <w:rFonts w:hint="eastAsia" w:ascii="仿宋_GB2312" w:hAnsi="宋体" w:eastAsia="仿宋_GB2312"/>
                <w:sz w:val="24"/>
              </w:rPr>
              <w:t xml:space="preserve">CMA  </w:t>
            </w:r>
            <w:r>
              <w:rPr>
                <w:rFonts w:hint="eastAsia" w:ascii="宋体"/>
                <w:sz w:val="24"/>
              </w:rPr>
              <w:sym w:font="Wingdings 2" w:char="F052"/>
            </w:r>
            <w:r>
              <w:rPr>
                <w:rFonts w:hint="eastAsia" w:ascii="仿宋_GB2312" w:hAnsi="宋体" w:eastAsia="仿宋_GB2312"/>
                <w:sz w:val="24"/>
              </w:rPr>
              <w:t xml:space="preserve">CAL </w:t>
            </w:r>
            <w:r>
              <w:rPr>
                <w:rFonts w:hint="eastAsia" w:ascii="宋体"/>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4"/>
              <w:spacing w:line="360" w:lineRule="exact"/>
              <w:jc w:val="center"/>
              <w:rPr>
                <w:rFonts w:ascii="仿宋_GB2312" w:eastAsia="仿宋_GB2312"/>
              </w:rPr>
            </w:pPr>
            <w:r>
              <w:rPr>
                <w:rFonts w:ascii="仿宋_GB2312" w:eastAsia="仿宋_GB2312"/>
              </w:rPr>
              <w:t>GB 6675.2-2014</w:t>
            </w:r>
          </w:p>
        </w:tc>
        <w:tc>
          <w:tcPr>
            <w:tcW w:w="4110" w:type="dxa"/>
            <w:noWrap w:val="0"/>
            <w:vAlign w:val="center"/>
          </w:tcPr>
          <w:p>
            <w:pPr>
              <w:pStyle w:val="4"/>
              <w:spacing w:line="360" w:lineRule="exact"/>
              <w:jc w:val="center"/>
              <w:rPr>
                <w:rFonts w:ascii="仿宋_GB2312" w:eastAsia="仿宋_GB2312"/>
              </w:rPr>
            </w:pPr>
            <w:r>
              <w:rPr>
                <w:rFonts w:ascii="仿宋_GB2312" w:eastAsia="仿宋_GB2312"/>
              </w:rPr>
              <w:t>玩具安全 第2部分:机械与物理性能</w:t>
            </w:r>
          </w:p>
        </w:tc>
        <w:tc>
          <w:tcPr>
            <w:tcW w:w="2786" w:type="dxa"/>
            <w:noWrap w:val="0"/>
            <w:vAlign w:val="center"/>
          </w:tcPr>
          <w:p>
            <w:pPr>
              <w:spacing w:line="360" w:lineRule="exact"/>
              <w:jc w:val="center"/>
              <w:rPr>
                <w:rFonts w:ascii="宋体"/>
                <w:sz w:val="24"/>
              </w:rPr>
            </w:pPr>
            <w:r>
              <w:rPr>
                <w:rFonts w:hint="eastAsia" w:ascii="宋体"/>
                <w:sz w:val="24"/>
              </w:rPr>
              <w:sym w:font="Wingdings 2" w:char="F052"/>
            </w:r>
            <w:r>
              <w:rPr>
                <w:rFonts w:hint="eastAsia" w:ascii="仿宋_GB2312" w:hAnsi="宋体" w:eastAsia="仿宋_GB2312"/>
                <w:sz w:val="24"/>
              </w:rPr>
              <w:t xml:space="preserve">CMA  </w:t>
            </w:r>
            <w:r>
              <w:rPr>
                <w:rFonts w:hint="eastAsia" w:ascii="宋体"/>
                <w:sz w:val="24"/>
              </w:rPr>
              <w:sym w:font="Wingdings 2" w:char="F052"/>
            </w:r>
            <w:r>
              <w:rPr>
                <w:rFonts w:hint="eastAsia" w:ascii="仿宋_GB2312" w:hAnsi="宋体" w:eastAsia="仿宋_GB2312"/>
                <w:sz w:val="24"/>
              </w:rPr>
              <w:t xml:space="preserve">CAL </w:t>
            </w:r>
            <w:r>
              <w:rPr>
                <w:rFonts w:hint="eastAsia" w:ascii="宋体"/>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4"/>
              <w:spacing w:line="360" w:lineRule="exact"/>
              <w:jc w:val="center"/>
              <w:rPr>
                <w:rFonts w:ascii="仿宋_GB2312" w:eastAsia="仿宋_GB2312"/>
              </w:rPr>
            </w:pPr>
            <w:r>
              <w:rPr>
                <w:rFonts w:ascii="仿宋_GB2312" w:eastAsia="仿宋_GB2312"/>
              </w:rPr>
              <w:t>GB 6675.3-2014</w:t>
            </w:r>
          </w:p>
        </w:tc>
        <w:tc>
          <w:tcPr>
            <w:tcW w:w="4110" w:type="dxa"/>
            <w:noWrap w:val="0"/>
            <w:vAlign w:val="center"/>
          </w:tcPr>
          <w:p>
            <w:pPr>
              <w:pStyle w:val="4"/>
              <w:spacing w:line="360" w:lineRule="exact"/>
              <w:jc w:val="center"/>
              <w:rPr>
                <w:rFonts w:ascii="仿宋_GB2312" w:eastAsia="仿宋_GB2312"/>
              </w:rPr>
            </w:pPr>
            <w:r>
              <w:rPr>
                <w:rFonts w:ascii="仿宋_GB2312" w:eastAsia="仿宋_GB2312"/>
              </w:rPr>
              <w:t>玩具安全 第3部分:易燃性能</w:t>
            </w:r>
          </w:p>
        </w:tc>
        <w:tc>
          <w:tcPr>
            <w:tcW w:w="2786" w:type="dxa"/>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4"/>
              <w:spacing w:line="360" w:lineRule="exact"/>
              <w:jc w:val="center"/>
              <w:rPr>
                <w:rFonts w:ascii="仿宋_GB2312" w:eastAsia="仿宋_GB2312"/>
              </w:rPr>
            </w:pPr>
            <w:r>
              <w:rPr>
                <w:rFonts w:ascii="仿宋_GB2312" w:eastAsia="仿宋_GB2312"/>
              </w:rPr>
              <w:t>GB 6675.4-2014</w:t>
            </w:r>
          </w:p>
        </w:tc>
        <w:tc>
          <w:tcPr>
            <w:tcW w:w="4110" w:type="dxa"/>
            <w:noWrap w:val="0"/>
            <w:vAlign w:val="center"/>
          </w:tcPr>
          <w:p>
            <w:pPr>
              <w:pStyle w:val="4"/>
              <w:spacing w:line="360" w:lineRule="exact"/>
              <w:jc w:val="center"/>
            </w:pPr>
            <w:r>
              <w:rPr>
                <w:rFonts w:ascii="仿宋_GB2312" w:eastAsia="仿宋_GB2312"/>
              </w:rPr>
              <w:t>玩具安全 第4部分:特定元素的迁移</w:t>
            </w:r>
          </w:p>
        </w:tc>
        <w:tc>
          <w:tcPr>
            <w:tcW w:w="2786" w:type="dxa"/>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4"/>
              <w:spacing w:line="360" w:lineRule="exact"/>
              <w:jc w:val="center"/>
              <w:rPr>
                <w:rFonts w:ascii="仿宋_GB2312" w:eastAsia="仿宋_GB2312"/>
              </w:rPr>
            </w:pPr>
            <w:r>
              <w:rPr>
                <w:rFonts w:ascii="仿宋_GB2312" w:eastAsia="仿宋_GB2312"/>
              </w:rPr>
              <w:t>SZJG 55-2018</w:t>
            </w:r>
          </w:p>
        </w:tc>
        <w:tc>
          <w:tcPr>
            <w:tcW w:w="4110" w:type="dxa"/>
            <w:noWrap w:val="0"/>
            <w:vAlign w:val="center"/>
          </w:tcPr>
          <w:p>
            <w:pPr>
              <w:pStyle w:val="4"/>
              <w:spacing w:line="360" w:lineRule="exact"/>
              <w:jc w:val="center"/>
              <w:rPr>
                <w:rFonts w:ascii="仿宋_GB2312" w:eastAsia="仿宋_GB2312"/>
              </w:rPr>
            </w:pPr>
            <w:r>
              <w:rPr>
                <w:rFonts w:hint="eastAsia" w:ascii="仿宋_GB2312" w:eastAsia="仿宋_GB2312"/>
              </w:rPr>
              <w:t>深圳经济特区技术规范《儿童塑胶地垫化学安全技术要求》</w:t>
            </w:r>
          </w:p>
        </w:tc>
        <w:tc>
          <w:tcPr>
            <w:tcW w:w="2786" w:type="dxa"/>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bl>
    <w:p>
      <w:pPr>
        <w:snapToGrid w:val="0"/>
        <w:spacing w:before="160" w:beforeLines="50"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相关的产品强制性标准、行业标准、政府法规及产品的明示标准（包括企业标准）和明示担保内容。</w:t>
      </w:r>
    </w:p>
    <w:p>
      <w:pPr>
        <w:pStyle w:val="3"/>
      </w:pPr>
      <w:r>
        <w:rPr>
          <w:rFonts w:hint="eastAsia"/>
        </w:rPr>
        <w:t>5 抽样</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540" w:lineRule="exact"/>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5.2 取样方式</w:t>
      </w:r>
    </w:p>
    <w:p>
      <w:pPr>
        <w:snapToGrid w:val="0"/>
        <w:spacing w:line="54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sz w:val="28"/>
          <w:szCs w:val="28"/>
        </w:rPr>
        <w:t xml:space="preserve"> 流通领域：在流通领域抽样可在实体店以及网络交易平台两种途径获得样品。</w:t>
      </w:r>
    </w:p>
    <w:p>
      <w:pPr>
        <w:snapToGrid w:val="0"/>
        <w:spacing w:line="540" w:lineRule="exact"/>
        <w:ind w:firstLine="560" w:firstLineChars="200"/>
        <w:rPr>
          <w:rFonts w:ascii="仿宋_GB2312" w:hAnsi="宋体" w:eastAsia="仿宋_GB2312"/>
          <w:b/>
          <w:sz w:val="28"/>
          <w:szCs w:val="28"/>
        </w:rPr>
      </w:pPr>
      <w:r>
        <w:rPr>
          <w:rFonts w:hint="eastAsia" w:ascii="仿宋_GB2312" w:hAnsi="宋体" w:eastAsia="仿宋_GB2312"/>
          <w:sz w:val="28"/>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网络交易平台：若网络交易平台是在深汕特别合作区登记注册的，可对该平台的自营商品进行抽检。若网络交易平台不在深汕特别合作区登记注册的，仅可对其平台上在深汕特别合作区依法登记的经营者销售的商品进行抽检。在网络平台抽样检验样品以及备用样品原则上均以向商家购样为主。</w:t>
      </w:r>
      <w:r>
        <w:rPr>
          <w:rFonts w:hint="eastAsia" w:ascii="仿宋_GB2312" w:hAnsi="宋体" w:eastAsia="仿宋_GB2312"/>
          <w:sz w:val="28"/>
          <w:szCs w:val="28"/>
        </w:rPr>
        <w:br w:type="textWrapping"/>
      </w:r>
      <w:r>
        <w:rPr>
          <w:rFonts w:hint="eastAsia" w:ascii="仿宋_GB2312" w:hAnsi="宋体" w:eastAsia="仿宋_GB2312"/>
          <w:b/>
          <w:sz w:val="28"/>
          <w:szCs w:val="28"/>
        </w:rPr>
        <w:t>5.3 抽样基数</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5.4 抽样数量</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生产领域：随机抽取同一规格型号的3台样品，2台作为检验样品带回承检单位，1台作为备用样品封存于承检单位；</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流通领域（实体店）：随机抽取同一规格型号的3台样品，2台作为检验样品带回承检单位，1台作为备用样品封存于承检单位；</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流通领域（网络交易平台）：随机抽取同一规格型号的3台样品，2台作为检验样品带回承检单位，1台作为备用样品封存于承检单位。</w:t>
      </w:r>
    </w:p>
    <w:p>
      <w:pPr>
        <w:snapToGrid w:val="0"/>
        <w:spacing w:line="540" w:lineRule="exact"/>
        <w:rPr>
          <w:rFonts w:ascii="仿宋_GB2312" w:hAnsi="宋体" w:eastAsia="仿宋_GB2312"/>
          <w:b/>
          <w:bCs/>
          <w:sz w:val="28"/>
          <w:szCs w:val="28"/>
        </w:rPr>
      </w:pPr>
      <w:r>
        <w:rPr>
          <w:rFonts w:hint="eastAsia" w:ascii="仿宋_GB2312" w:hAnsi="宋体" w:eastAsia="仿宋_GB2312"/>
          <w:b/>
          <w:bCs/>
          <w:sz w:val="28"/>
          <w:szCs w:val="28"/>
        </w:rPr>
        <w:t>5.5 取样要求</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样品应当由抽样人员在被抽样生产者、销售者的代销产品中随机抽取，不得由被抽样生产者、销售者自行抽样。</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540" w:lineRule="exact"/>
        <w:rPr>
          <w:rFonts w:ascii="仿宋_GB2312" w:hAnsi="宋体" w:eastAsia="仿宋_GB2312"/>
          <w:b/>
          <w:sz w:val="28"/>
          <w:szCs w:val="28"/>
        </w:rPr>
      </w:pPr>
      <w:r>
        <w:rPr>
          <w:rFonts w:hint="eastAsia" w:ascii="仿宋_GB2312" w:hAnsi="宋体" w:eastAsia="仿宋_GB2312"/>
          <w:b/>
          <w:bCs/>
          <w:sz w:val="28"/>
          <w:szCs w:val="28"/>
        </w:rPr>
        <w:t xml:space="preserve">5.5.3 </w:t>
      </w:r>
      <w:r>
        <w:rPr>
          <w:rFonts w:hint="eastAsia" w:ascii="仿宋_GB2312" w:hAnsi="宋体" w:eastAsia="仿宋_GB2312"/>
          <w:sz w:val="28"/>
          <w:szCs w:val="28"/>
        </w:rPr>
        <w:t>抽样时应一并抽取产品的配件、赠品等。</w:t>
      </w:r>
    </w:p>
    <w:p>
      <w:pPr>
        <w:rPr>
          <w:rFonts w:ascii="仿宋_GB2312" w:eastAsia="仿宋_GB2312"/>
          <w:b/>
          <w:bCs/>
          <w:sz w:val="28"/>
          <w:szCs w:val="28"/>
        </w:rPr>
      </w:pPr>
      <w:r>
        <w:rPr>
          <w:rFonts w:hint="eastAsia" w:ascii="仿宋_GB2312" w:eastAsia="仿宋_GB2312"/>
          <w:b/>
          <w:bCs/>
          <w:sz w:val="28"/>
          <w:szCs w:val="28"/>
        </w:rPr>
        <w:t>5.6 样品处置</w:t>
      </w:r>
    </w:p>
    <w:p>
      <w:pPr>
        <w:spacing w:line="540" w:lineRule="exact"/>
        <w:rPr>
          <w:rFonts w:ascii="仿宋_GB2312" w:hAnsi="宋体" w:eastAsia="仿宋_GB2312"/>
          <w:sz w:val="28"/>
          <w:szCs w:val="28"/>
        </w:rPr>
      </w:pPr>
      <w:r>
        <w:rPr>
          <w:rFonts w:hint="eastAsia" w:ascii="仿宋_GB2312" w:hAnsi="ˎ̥" w:eastAsia="仿宋_GB2312"/>
          <w:b/>
          <w:sz w:val="28"/>
          <w:szCs w:val="28"/>
        </w:rPr>
        <w:t xml:space="preserve">5.6.1 </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540" w:lineRule="exact"/>
        <w:rPr>
          <w:rFonts w:ascii="仿宋_GB2312" w:eastAsia="仿宋_GB2312"/>
          <w:sz w:val="28"/>
          <w:szCs w:val="28"/>
        </w:rPr>
      </w:pPr>
      <w:r>
        <w:rPr>
          <w:rFonts w:hint="eastAsia" w:ascii="仿宋_GB2312" w:hAnsi="宋体" w:eastAsia="仿宋_GB2312"/>
          <w:b/>
          <w:sz w:val="28"/>
          <w:szCs w:val="28"/>
        </w:rPr>
        <w:t xml:space="preserve">5.6.2 </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540" w:lineRule="exact"/>
        <w:rPr>
          <w:rFonts w:ascii="仿宋_GB2312" w:hAnsi="宋体" w:eastAsia="仿宋_GB2312"/>
          <w:b/>
          <w:sz w:val="28"/>
          <w:szCs w:val="28"/>
        </w:rPr>
      </w:pPr>
      <w:r>
        <w:rPr>
          <w:rFonts w:hint="eastAsia" w:ascii="仿宋_GB2312" w:hAnsi="宋体" w:eastAsia="仿宋_GB2312"/>
          <w:b/>
          <w:sz w:val="28"/>
          <w:szCs w:val="28"/>
        </w:rPr>
        <w:t>5.7 抽样单</w:t>
      </w:r>
    </w:p>
    <w:p>
      <w:pPr>
        <w:snapToGrid w:val="0"/>
        <w:spacing w:line="54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pPr>
      <w:r>
        <w:rPr>
          <w:rFonts w:hint="eastAsia"/>
        </w:rPr>
        <w:t>6 检验要求</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6.1 检验项目</w:t>
      </w:r>
    </w:p>
    <w:tbl>
      <w:tblPr>
        <w:tblStyle w:val="5"/>
        <w:tblW w:w="9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268"/>
        <w:gridCol w:w="2692"/>
        <w:gridCol w:w="990"/>
        <w:gridCol w:w="241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blHeader/>
          <w:jc w:val="center"/>
        </w:trPr>
        <w:tc>
          <w:tcPr>
            <w:tcW w:w="571" w:type="dxa"/>
            <w:noWrap w:val="0"/>
            <w:vAlign w:val="center"/>
          </w:tcPr>
          <w:p>
            <w:pPr>
              <w:jc w:val="center"/>
              <w:rPr>
                <w:rFonts w:ascii="黑体" w:hAnsi="黑体" w:eastAsia="黑体"/>
                <w:sz w:val="24"/>
              </w:rPr>
            </w:pPr>
            <w:r>
              <w:rPr>
                <w:rFonts w:hint="eastAsia" w:ascii="黑体" w:hAnsi="黑体" w:eastAsia="黑体"/>
                <w:sz w:val="24"/>
              </w:rPr>
              <w:t>序号</w:t>
            </w:r>
          </w:p>
        </w:tc>
        <w:tc>
          <w:tcPr>
            <w:tcW w:w="2268" w:type="dxa"/>
            <w:noWrap w:val="0"/>
            <w:vAlign w:val="center"/>
          </w:tcPr>
          <w:p>
            <w:pPr>
              <w:jc w:val="center"/>
              <w:rPr>
                <w:rFonts w:ascii="黑体" w:hAnsi="黑体" w:eastAsia="黑体"/>
                <w:sz w:val="24"/>
              </w:rPr>
            </w:pPr>
            <w:r>
              <w:rPr>
                <w:rFonts w:hint="eastAsia" w:ascii="黑体" w:hAnsi="黑体" w:eastAsia="黑体"/>
                <w:sz w:val="24"/>
              </w:rPr>
              <w:t>检验项目</w:t>
            </w:r>
          </w:p>
        </w:tc>
        <w:tc>
          <w:tcPr>
            <w:tcW w:w="2692" w:type="dxa"/>
            <w:noWrap w:val="0"/>
            <w:vAlign w:val="center"/>
          </w:tcPr>
          <w:p>
            <w:pPr>
              <w:jc w:val="center"/>
              <w:rPr>
                <w:rFonts w:ascii="黑体" w:hAnsi="黑体" w:eastAsia="黑体"/>
                <w:sz w:val="24"/>
              </w:rPr>
            </w:pPr>
            <w:r>
              <w:rPr>
                <w:rFonts w:hint="eastAsia" w:ascii="黑体" w:hAnsi="黑体" w:eastAsia="黑体"/>
                <w:sz w:val="24"/>
              </w:rPr>
              <w:t>检测依据</w:t>
            </w:r>
          </w:p>
        </w:tc>
        <w:tc>
          <w:tcPr>
            <w:tcW w:w="990" w:type="dxa"/>
            <w:noWrap w:val="0"/>
            <w:vAlign w:val="center"/>
          </w:tcPr>
          <w:p>
            <w:pPr>
              <w:jc w:val="center"/>
              <w:rPr>
                <w:rFonts w:ascii="黑体" w:hAnsi="黑体" w:eastAsia="黑体"/>
                <w:sz w:val="24"/>
              </w:rPr>
            </w:pPr>
            <w:r>
              <w:rPr>
                <w:rFonts w:hint="eastAsia" w:ascii="黑体" w:hAnsi="黑体" w:eastAsia="黑体"/>
                <w:sz w:val="24"/>
              </w:rPr>
              <w:t>项目性质</w:t>
            </w:r>
          </w:p>
        </w:tc>
        <w:tc>
          <w:tcPr>
            <w:tcW w:w="2411" w:type="dxa"/>
            <w:noWrap w:val="0"/>
            <w:vAlign w:val="center"/>
          </w:tcPr>
          <w:p>
            <w:pPr>
              <w:jc w:val="center"/>
              <w:rPr>
                <w:rFonts w:ascii="黑体" w:hAnsi="黑体" w:eastAsia="黑体"/>
                <w:sz w:val="24"/>
              </w:rPr>
            </w:pPr>
            <w:r>
              <w:rPr>
                <w:rFonts w:hint="eastAsia" w:ascii="黑体" w:hAnsi="黑体" w:eastAsia="黑体"/>
                <w:sz w:val="24"/>
              </w:rPr>
              <w:t>检测方法</w:t>
            </w:r>
          </w:p>
        </w:tc>
        <w:tc>
          <w:tcPr>
            <w:tcW w:w="851" w:type="dxa"/>
            <w:noWrap w:val="0"/>
            <w:vAlign w:val="center"/>
          </w:tcPr>
          <w:p>
            <w:pPr>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1</w:t>
            </w:r>
          </w:p>
        </w:tc>
        <w:tc>
          <w:tcPr>
            <w:tcW w:w="2268" w:type="dxa"/>
            <w:noWrap w:val="0"/>
            <w:vAlign w:val="center"/>
          </w:tcPr>
          <w:p>
            <w:pPr>
              <w:jc w:val="center"/>
              <w:rPr>
                <w:rFonts w:eastAsia="仿宋_GB2312"/>
                <w:sz w:val="24"/>
              </w:rPr>
            </w:pPr>
            <w:r>
              <w:rPr>
                <w:rFonts w:eastAsia="仿宋_GB2312"/>
                <w:sz w:val="24"/>
              </w:rPr>
              <w:t>机械与物理性能</w:t>
            </w:r>
            <w:r>
              <w:rPr>
                <w:rFonts w:eastAsia="仿宋_GB2312"/>
                <w:sz w:val="24"/>
                <w:vertAlign w:val="superscript"/>
              </w:rPr>
              <w:t>1</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5.1、</w:t>
            </w:r>
          </w:p>
          <w:p>
            <w:pPr>
              <w:jc w:val="center"/>
              <w:rPr>
                <w:rFonts w:ascii="仿宋_GB2312" w:eastAsia="仿宋_GB2312"/>
                <w:sz w:val="24"/>
              </w:rPr>
            </w:pPr>
            <w:r>
              <w:rPr>
                <w:rFonts w:hint="eastAsia" w:ascii="仿宋_GB2312" w:eastAsia="仿宋_GB2312"/>
                <w:sz w:val="24"/>
              </w:rPr>
              <w:t>GB 6675.2-2014</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 6675.2-2014</w:t>
            </w:r>
          </w:p>
        </w:tc>
        <w:tc>
          <w:tcPr>
            <w:tcW w:w="851" w:type="dxa"/>
            <w:noWrap w:val="0"/>
            <w:vAlign w:val="center"/>
          </w:tcPr>
          <w:p>
            <w:pPr>
              <w:jc w:val="center"/>
              <w:rPr>
                <w:rFonts w:ascii="仿宋_GB2312" w:eastAsia="仿宋_GB2312"/>
                <w:sz w:val="24"/>
              </w:rPr>
            </w:pPr>
            <w:r>
              <w:rPr>
                <w:rFonts w:hint="eastAsia" w:ascii="仿宋_GB2312"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2</w:t>
            </w:r>
          </w:p>
        </w:tc>
        <w:tc>
          <w:tcPr>
            <w:tcW w:w="2268" w:type="dxa"/>
            <w:noWrap w:val="0"/>
            <w:vAlign w:val="center"/>
          </w:tcPr>
          <w:p>
            <w:pPr>
              <w:jc w:val="center"/>
              <w:rPr>
                <w:rFonts w:eastAsia="仿宋_GB2312"/>
                <w:sz w:val="24"/>
              </w:rPr>
            </w:pPr>
            <w:r>
              <w:rPr>
                <w:rFonts w:eastAsia="仿宋_GB2312"/>
                <w:sz w:val="24"/>
              </w:rPr>
              <w:t>易燃性能</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5.2、</w:t>
            </w:r>
          </w:p>
          <w:p>
            <w:pPr>
              <w:jc w:val="center"/>
              <w:rPr>
                <w:rFonts w:ascii="仿宋_GB2312" w:eastAsia="仿宋_GB2312"/>
                <w:sz w:val="24"/>
              </w:rPr>
            </w:pPr>
            <w:r>
              <w:rPr>
                <w:rFonts w:hint="eastAsia" w:ascii="仿宋_GB2312" w:eastAsia="仿宋_GB2312"/>
                <w:sz w:val="24"/>
              </w:rPr>
              <w:t>GB 6675.3-2014</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 6675.3-2014</w:t>
            </w:r>
          </w:p>
        </w:tc>
        <w:tc>
          <w:tcPr>
            <w:tcW w:w="851" w:type="dxa"/>
            <w:noWrap w:val="0"/>
            <w:vAlign w:val="center"/>
          </w:tcPr>
          <w:p>
            <w:pPr>
              <w:jc w:val="center"/>
              <w:rPr>
                <w:rFonts w:ascii="仿宋_GB2312" w:eastAsia="仿宋_GB2312"/>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3</w:t>
            </w:r>
          </w:p>
        </w:tc>
        <w:tc>
          <w:tcPr>
            <w:tcW w:w="2268" w:type="dxa"/>
            <w:noWrap w:val="0"/>
            <w:vAlign w:val="center"/>
          </w:tcPr>
          <w:p>
            <w:pPr>
              <w:jc w:val="center"/>
              <w:rPr>
                <w:rFonts w:eastAsia="仿宋_GB2312"/>
                <w:sz w:val="24"/>
              </w:rPr>
            </w:pPr>
            <w:r>
              <w:rPr>
                <w:rFonts w:eastAsia="仿宋_GB2312"/>
                <w:sz w:val="24"/>
              </w:rPr>
              <w:t>特定元素的迁移</w:t>
            </w:r>
            <w:r>
              <w:rPr>
                <w:rFonts w:eastAsia="仿宋_GB2312"/>
                <w:sz w:val="24"/>
                <w:vertAlign w:val="superscript"/>
              </w:rPr>
              <w:t>2</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5.3.3、</w:t>
            </w:r>
          </w:p>
          <w:p>
            <w:pPr>
              <w:jc w:val="center"/>
              <w:rPr>
                <w:rFonts w:ascii="仿宋_GB2312" w:eastAsia="仿宋_GB2312"/>
                <w:sz w:val="24"/>
              </w:rPr>
            </w:pPr>
            <w:r>
              <w:rPr>
                <w:rFonts w:hint="eastAsia" w:ascii="仿宋_GB2312" w:eastAsia="仿宋_GB2312"/>
                <w:sz w:val="24"/>
              </w:rPr>
              <w:t>GB 6675.4-2014</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 6675.4-2014</w:t>
            </w:r>
          </w:p>
        </w:tc>
        <w:tc>
          <w:tcPr>
            <w:tcW w:w="851" w:type="dxa"/>
            <w:noWrap w:val="0"/>
            <w:vAlign w:val="center"/>
          </w:tcPr>
          <w:p>
            <w:pPr>
              <w:jc w:val="center"/>
              <w:rPr>
                <w:rFonts w:ascii="仿宋_GB2312" w:eastAsia="仿宋_GB2312"/>
                <w:sz w:val="24"/>
              </w:rPr>
            </w:pPr>
            <w:r>
              <w:rPr>
                <w:rFonts w:hint="eastAsia" w:ascii="仿宋_GB2312"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4</w:t>
            </w:r>
          </w:p>
        </w:tc>
        <w:tc>
          <w:tcPr>
            <w:tcW w:w="2268" w:type="dxa"/>
            <w:noWrap w:val="0"/>
            <w:vAlign w:val="center"/>
          </w:tcPr>
          <w:p>
            <w:pPr>
              <w:jc w:val="center"/>
              <w:rPr>
                <w:rFonts w:eastAsia="仿宋_GB2312"/>
                <w:sz w:val="24"/>
              </w:rPr>
            </w:pPr>
            <w:r>
              <w:rPr>
                <w:rFonts w:eastAsia="仿宋_GB2312"/>
                <w:sz w:val="24"/>
              </w:rPr>
              <w:t>增塑剂</w:t>
            </w:r>
            <w:r>
              <w:rPr>
                <w:rFonts w:eastAsia="仿宋_GB2312"/>
                <w:sz w:val="24"/>
                <w:vertAlign w:val="superscript"/>
              </w:rPr>
              <w:t>3</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5.3.7</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GB/T 22048-2015</w:t>
            </w:r>
          </w:p>
        </w:tc>
        <w:tc>
          <w:tcPr>
            <w:tcW w:w="851" w:type="dxa"/>
            <w:noWrap w:val="0"/>
            <w:vAlign w:val="center"/>
          </w:tcPr>
          <w:p>
            <w:pPr>
              <w:jc w:val="center"/>
              <w:rPr>
                <w:rFonts w:ascii="仿宋_GB2312" w:eastAsia="仿宋_GB2312"/>
                <w:sz w:val="24"/>
              </w:rPr>
            </w:pPr>
            <w:r>
              <w:rPr>
                <w:rFonts w:hint="eastAsia" w:ascii="仿宋_GB2312"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5</w:t>
            </w:r>
          </w:p>
        </w:tc>
        <w:tc>
          <w:tcPr>
            <w:tcW w:w="2268" w:type="dxa"/>
            <w:noWrap w:val="0"/>
            <w:vAlign w:val="center"/>
          </w:tcPr>
          <w:p>
            <w:pPr>
              <w:jc w:val="center"/>
              <w:rPr>
                <w:rFonts w:eastAsia="仿宋_GB2312"/>
                <w:sz w:val="24"/>
              </w:rPr>
            </w:pPr>
            <w:r>
              <w:rPr>
                <w:rFonts w:eastAsia="仿宋_GB2312"/>
                <w:sz w:val="24"/>
              </w:rPr>
              <w:t>玩具标识（年龄范围、玩具警告标识）</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5.7</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GB/T 28022-2011</w:t>
            </w:r>
          </w:p>
          <w:p>
            <w:pPr>
              <w:jc w:val="center"/>
              <w:rPr>
                <w:rFonts w:ascii="仿宋_GB2312" w:eastAsia="仿宋_GB2312"/>
                <w:sz w:val="24"/>
              </w:rPr>
            </w:pPr>
            <w:r>
              <w:rPr>
                <w:rFonts w:hint="eastAsia" w:ascii="仿宋_GB2312" w:eastAsia="仿宋_GB2312"/>
                <w:sz w:val="24"/>
              </w:rPr>
              <w:t>GB 6675.1-2014 5.7</w:t>
            </w:r>
          </w:p>
        </w:tc>
        <w:tc>
          <w:tcPr>
            <w:tcW w:w="851" w:type="dxa"/>
            <w:noWrap w:val="0"/>
            <w:vAlign w:val="center"/>
          </w:tcPr>
          <w:p>
            <w:pPr>
              <w:jc w:val="center"/>
              <w:rPr>
                <w:rFonts w:ascii="仿宋_GB2312" w:eastAsia="仿宋_GB2312"/>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6</w:t>
            </w:r>
          </w:p>
        </w:tc>
        <w:tc>
          <w:tcPr>
            <w:tcW w:w="2268" w:type="dxa"/>
            <w:noWrap w:val="0"/>
            <w:vAlign w:val="center"/>
          </w:tcPr>
          <w:p>
            <w:pPr>
              <w:jc w:val="center"/>
              <w:rPr>
                <w:rFonts w:eastAsia="仿宋_GB2312"/>
                <w:sz w:val="24"/>
              </w:rPr>
            </w:pPr>
            <w:r>
              <w:rPr>
                <w:rFonts w:eastAsia="仿宋_GB2312"/>
                <w:sz w:val="24"/>
              </w:rPr>
              <w:t>特定挥发性有机化合物释放总量</w:t>
            </w:r>
            <w:r>
              <w:rPr>
                <w:rFonts w:eastAsia="仿宋_GB2312"/>
                <w:sz w:val="24"/>
                <w:vertAlign w:val="superscript"/>
              </w:rPr>
              <w:t>4</w:t>
            </w:r>
          </w:p>
        </w:tc>
        <w:tc>
          <w:tcPr>
            <w:tcW w:w="2692" w:type="dxa"/>
            <w:noWrap w:val="0"/>
            <w:vAlign w:val="center"/>
          </w:tcPr>
          <w:p>
            <w:pPr>
              <w:jc w:val="center"/>
              <w:rPr>
                <w:rFonts w:ascii="仿宋_GB2312" w:eastAsia="仿宋_GB2312"/>
                <w:sz w:val="24"/>
              </w:rPr>
            </w:pPr>
            <w:r>
              <w:rPr>
                <w:rFonts w:hint="eastAsia" w:ascii="仿宋_GB2312" w:eastAsia="仿宋_GB2312"/>
                <w:sz w:val="24"/>
              </w:rPr>
              <w:t>SZJG 55-2018 4.3</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SZJG 55-2018附录A</w:t>
            </w:r>
          </w:p>
        </w:tc>
        <w:tc>
          <w:tcPr>
            <w:tcW w:w="851" w:type="dxa"/>
            <w:noWrap w:val="0"/>
            <w:vAlign w:val="center"/>
          </w:tcPr>
          <w:p>
            <w:pPr>
              <w:jc w:val="center"/>
              <w:rPr>
                <w:rFonts w:ascii="仿宋_GB2312" w:eastAsia="仿宋_GB2312"/>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7</w:t>
            </w:r>
          </w:p>
        </w:tc>
        <w:tc>
          <w:tcPr>
            <w:tcW w:w="2268" w:type="dxa"/>
            <w:noWrap w:val="0"/>
            <w:vAlign w:val="center"/>
          </w:tcPr>
          <w:p>
            <w:pPr>
              <w:jc w:val="center"/>
              <w:rPr>
                <w:rFonts w:eastAsia="仿宋_GB2312"/>
                <w:sz w:val="24"/>
              </w:rPr>
            </w:pPr>
            <w:r>
              <w:rPr>
                <w:rFonts w:eastAsia="仿宋_GB2312"/>
                <w:sz w:val="24"/>
              </w:rPr>
              <w:t>甲酰胺</w:t>
            </w:r>
            <w:r>
              <w:rPr>
                <w:rFonts w:eastAsia="仿宋_GB2312"/>
                <w:sz w:val="24"/>
                <w:vertAlign w:val="superscript"/>
              </w:rPr>
              <w:t>4</w:t>
            </w:r>
          </w:p>
        </w:tc>
        <w:tc>
          <w:tcPr>
            <w:tcW w:w="2692" w:type="dxa"/>
            <w:noWrap w:val="0"/>
            <w:vAlign w:val="center"/>
          </w:tcPr>
          <w:p>
            <w:pPr>
              <w:jc w:val="center"/>
              <w:rPr>
                <w:rFonts w:ascii="仿宋_GB2312" w:eastAsia="仿宋_GB2312"/>
                <w:sz w:val="24"/>
              </w:rPr>
            </w:pPr>
            <w:r>
              <w:rPr>
                <w:rFonts w:hint="eastAsia" w:ascii="仿宋_GB2312" w:eastAsia="仿宋_GB2312"/>
                <w:sz w:val="24"/>
              </w:rPr>
              <w:t>SZJG 55-2018 4.4</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GB/T 34436-2017</w:t>
            </w:r>
          </w:p>
        </w:tc>
        <w:tc>
          <w:tcPr>
            <w:tcW w:w="851" w:type="dxa"/>
            <w:noWrap w:val="0"/>
            <w:vAlign w:val="center"/>
          </w:tcPr>
          <w:p>
            <w:pPr>
              <w:jc w:val="center"/>
              <w:rPr>
                <w:rFonts w:ascii="仿宋_GB2312" w:eastAsia="仿宋_GB2312"/>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3" w:type="dxa"/>
            <w:gridSpan w:val="6"/>
            <w:noWrap w:val="0"/>
            <w:vAlign w:val="center"/>
          </w:tcPr>
          <w:p>
            <w:pPr>
              <w:rPr>
                <w:rFonts w:ascii="仿宋_GB2312" w:eastAsia="仿宋_GB2312"/>
                <w:sz w:val="24"/>
              </w:rPr>
            </w:pPr>
            <w:r>
              <w:rPr>
                <w:rFonts w:hint="eastAsia" w:ascii="仿宋_GB2312" w:eastAsia="仿宋_GB2312"/>
                <w:sz w:val="24"/>
              </w:rPr>
              <w:t>注1：机械与物理性能正常使用不合格项目原则上使用原样进行复检，但因可预见的合理滥用测试导致样品被破坏而使原样不能用于复检时，可用备样复检；可预见的合理滥用测试不合格，应使用备样进行复检。机械与物理性能应对所有适用项目进行测试，不适用的项目应在报告中予以说明。</w:t>
            </w:r>
          </w:p>
          <w:p>
            <w:pPr>
              <w:rPr>
                <w:rFonts w:ascii="仿宋_GB2312" w:eastAsia="仿宋_GB2312"/>
                <w:sz w:val="24"/>
              </w:rPr>
            </w:pPr>
            <w:r>
              <w:rPr>
                <w:rFonts w:hint="eastAsia" w:ascii="仿宋_GB2312" w:eastAsia="仿宋_GB2312"/>
                <w:sz w:val="24"/>
              </w:rPr>
              <w:t>注2：特定元素的迁移项目原则上使用原样复检，但原样样品量不足时，可使用备样复检。</w:t>
            </w:r>
          </w:p>
          <w:p>
            <w:pPr>
              <w:rPr>
                <w:rFonts w:ascii="仿宋_GB2312" w:eastAsia="仿宋_GB2312"/>
                <w:sz w:val="24"/>
              </w:rPr>
            </w:pPr>
            <w:r>
              <w:rPr>
                <w:rFonts w:hint="eastAsia" w:ascii="仿宋_GB2312" w:eastAsia="仿宋_GB2312"/>
                <w:sz w:val="24"/>
              </w:rPr>
              <w:t>注3：增塑剂项目优先选取软胶、皮革或涂层等2个材料进行测试，取样量不足0.1g时不进行测试。增塑剂项目原则上使用原样复检，但原样样品量不足时，可使用备样复检。</w:t>
            </w:r>
          </w:p>
          <w:p>
            <w:pPr>
              <w:rPr>
                <w:rFonts w:ascii="仿宋_GB2312" w:eastAsia="仿宋_GB2312"/>
                <w:sz w:val="24"/>
              </w:rPr>
            </w:pPr>
            <w:r>
              <w:rPr>
                <w:rFonts w:hint="eastAsia" w:ascii="仿宋_GB2312" w:eastAsia="仿宋_GB2312"/>
                <w:sz w:val="24"/>
              </w:rPr>
              <w:t>注4：特定挥发性有机化合物释放总量、甲酰胺项目仅适用于生产领域和实体店抽取的儿童地垫产品。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blHeader/>
          <w:jc w:val="center"/>
        </w:trPr>
        <w:tc>
          <w:tcPr>
            <w:tcW w:w="571" w:type="dxa"/>
            <w:noWrap w:val="0"/>
            <w:vAlign w:val="center"/>
          </w:tcPr>
          <w:p>
            <w:pPr>
              <w:jc w:val="center"/>
              <w:rPr>
                <w:rFonts w:ascii="黑体" w:hAnsi="黑体" w:eastAsia="黑体"/>
                <w:sz w:val="24"/>
              </w:rPr>
            </w:pPr>
            <w:r>
              <w:rPr>
                <w:rFonts w:hint="eastAsia" w:ascii="黑体" w:hAnsi="黑体" w:eastAsia="黑体"/>
                <w:sz w:val="24"/>
              </w:rPr>
              <w:t>序号</w:t>
            </w:r>
          </w:p>
        </w:tc>
        <w:tc>
          <w:tcPr>
            <w:tcW w:w="2268" w:type="dxa"/>
            <w:noWrap w:val="0"/>
            <w:vAlign w:val="center"/>
          </w:tcPr>
          <w:p>
            <w:pPr>
              <w:jc w:val="center"/>
              <w:rPr>
                <w:rFonts w:ascii="黑体" w:hAnsi="黑体" w:eastAsia="黑体"/>
                <w:sz w:val="24"/>
              </w:rPr>
            </w:pPr>
            <w:r>
              <w:rPr>
                <w:rFonts w:hint="eastAsia" w:ascii="黑体" w:hAnsi="黑体" w:eastAsia="黑体"/>
                <w:sz w:val="24"/>
              </w:rPr>
              <w:t>检验项目</w:t>
            </w:r>
          </w:p>
        </w:tc>
        <w:tc>
          <w:tcPr>
            <w:tcW w:w="2692" w:type="dxa"/>
            <w:noWrap w:val="0"/>
            <w:vAlign w:val="center"/>
          </w:tcPr>
          <w:p>
            <w:pPr>
              <w:jc w:val="center"/>
              <w:rPr>
                <w:rFonts w:ascii="黑体" w:hAnsi="黑体" w:eastAsia="黑体"/>
                <w:sz w:val="24"/>
              </w:rPr>
            </w:pPr>
            <w:r>
              <w:rPr>
                <w:rFonts w:hint="eastAsia" w:ascii="黑体" w:hAnsi="黑体" w:eastAsia="黑体"/>
                <w:sz w:val="24"/>
              </w:rPr>
              <w:t>检测依据</w:t>
            </w:r>
          </w:p>
        </w:tc>
        <w:tc>
          <w:tcPr>
            <w:tcW w:w="990" w:type="dxa"/>
            <w:noWrap w:val="0"/>
            <w:vAlign w:val="center"/>
          </w:tcPr>
          <w:p>
            <w:pPr>
              <w:jc w:val="center"/>
              <w:rPr>
                <w:rFonts w:ascii="黑体" w:hAnsi="黑体" w:eastAsia="黑体"/>
                <w:sz w:val="24"/>
              </w:rPr>
            </w:pPr>
            <w:r>
              <w:rPr>
                <w:rFonts w:hint="eastAsia" w:ascii="黑体" w:hAnsi="黑体" w:eastAsia="黑体"/>
                <w:sz w:val="24"/>
              </w:rPr>
              <w:t>项目性质</w:t>
            </w:r>
          </w:p>
        </w:tc>
        <w:tc>
          <w:tcPr>
            <w:tcW w:w="2411" w:type="dxa"/>
            <w:noWrap w:val="0"/>
            <w:vAlign w:val="center"/>
          </w:tcPr>
          <w:p>
            <w:pPr>
              <w:jc w:val="center"/>
              <w:rPr>
                <w:rFonts w:ascii="黑体" w:hAnsi="黑体" w:eastAsia="黑体"/>
                <w:sz w:val="24"/>
              </w:rPr>
            </w:pPr>
            <w:r>
              <w:rPr>
                <w:rFonts w:hint="eastAsia" w:ascii="黑体" w:hAnsi="黑体" w:eastAsia="黑体"/>
                <w:sz w:val="24"/>
              </w:rPr>
              <w:t>检测方法</w:t>
            </w:r>
          </w:p>
        </w:tc>
        <w:tc>
          <w:tcPr>
            <w:tcW w:w="851" w:type="dxa"/>
            <w:noWrap w:val="0"/>
            <w:vAlign w:val="center"/>
          </w:tcPr>
          <w:p>
            <w:pPr>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1</w:t>
            </w:r>
          </w:p>
        </w:tc>
        <w:tc>
          <w:tcPr>
            <w:tcW w:w="2268" w:type="dxa"/>
            <w:noWrap w:val="0"/>
            <w:vAlign w:val="center"/>
          </w:tcPr>
          <w:p>
            <w:pPr>
              <w:jc w:val="center"/>
              <w:rPr>
                <w:rFonts w:ascii="仿宋_GB2312" w:eastAsia="仿宋_GB2312"/>
                <w:sz w:val="24"/>
              </w:rPr>
            </w:pPr>
            <w:r>
              <w:rPr>
                <w:rFonts w:hint="eastAsia" w:ascii="仿宋_GB2312" w:eastAsia="仿宋_GB2312"/>
                <w:sz w:val="24"/>
              </w:rPr>
              <w:t>机械与物理性能1</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5.1、</w:t>
            </w:r>
          </w:p>
          <w:p>
            <w:pPr>
              <w:jc w:val="center"/>
              <w:rPr>
                <w:rFonts w:ascii="仿宋_GB2312" w:eastAsia="仿宋_GB2312"/>
                <w:sz w:val="24"/>
              </w:rPr>
            </w:pPr>
            <w:r>
              <w:rPr>
                <w:rFonts w:hint="eastAsia" w:ascii="仿宋_GB2312" w:eastAsia="仿宋_GB2312"/>
                <w:sz w:val="24"/>
              </w:rPr>
              <w:t>GB 6675.2-2014</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 6675.2-2014</w:t>
            </w:r>
          </w:p>
        </w:tc>
        <w:tc>
          <w:tcPr>
            <w:tcW w:w="851" w:type="dxa"/>
            <w:noWrap w:val="0"/>
            <w:vAlign w:val="center"/>
          </w:tcPr>
          <w:p>
            <w:pPr>
              <w:jc w:val="center"/>
              <w:rPr>
                <w:rFonts w:ascii="仿宋_GB2312" w:eastAsia="仿宋_GB2312"/>
                <w:sz w:val="24"/>
              </w:rPr>
            </w:pPr>
            <w:r>
              <w:rPr>
                <w:rFonts w:hint="eastAsia" w:ascii="仿宋_GB2312"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2</w:t>
            </w:r>
          </w:p>
        </w:tc>
        <w:tc>
          <w:tcPr>
            <w:tcW w:w="2268" w:type="dxa"/>
            <w:noWrap w:val="0"/>
            <w:vAlign w:val="center"/>
          </w:tcPr>
          <w:p>
            <w:pPr>
              <w:jc w:val="center"/>
              <w:rPr>
                <w:rFonts w:ascii="仿宋_GB2312" w:eastAsia="仿宋_GB2312"/>
                <w:sz w:val="24"/>
              </w:rPr>
            </w:pPr>
            <w:r>
              <w:rPr>
                <w:rFonts w:hint="eastAsia" w:ascii="仿宋_GB2312" w:eastAsia="仿宋_GB2312"/>
                <w:sz w:val="24"/>
              </w:rPr>
              <w:t>易燃性能</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5.2、</w:t>
            </w:r>
          </w:p>
          <w:p>
            <w:pPr>
              <w:jc w:val="center"/>
              <w:rPr>
                <w:rFonts w:ascii="仿宋_GB2312" w:eastAsia="仿宋_GB2312"/>
                <w:sz w:val="24"/>
              </w:rPr>
            </w:pPr>
            <w:r>
              <w:rPr>
                <w:rFonts w:hint="eastAsia" w:ascii="仿宋_GB2312" w:eastAsia="仿宋_GB2312"/>
                <w:sz w:val="24"/>
              </w:rPr>
              <w:t>GB 6675.3-2014</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 6675.3-2014</w:t>
            </w:r>
          </w:p>
        </w:tc>
        <w:tc>
          <w:tcPr>
            <w:tcW w:w="851" w:type="dxa"/>
            <w:noWrap w:val="0"/>
            <w:vAlign w:val="center"/>
          </w:tcPr>
          <w:p>
            <w:pPr>
              <w:jc w:val="center"/>
              <w:rPr>
                <w:rFonts w:ascii="仿宋_GB2312" w:eastAsia="仿宋_GB2312"/>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3</w:t>
            </w:r>
          </w:p>
        </w:tc>
        <w:tc>
          <w:tcPr>
            <w:tcW w:w="2268" w:type="dxa"/>
            <w:noWrap w:val="0"/>
            <w:vAlign w:val="center"/>
          </w:tcPr>
          <w:p>
            <w:pPr>
              <w:jc w:val="center"/>
              <w:rPr>
                <w:rFonts w:ascii="仿宋_GB2312" w:eastAsia="仿宋_GB2312"/>
                <w:sz w:val="24"/>
              </w:rPr>
            </w:pPr>
            <w:r>
              <w:rPr>
                <w:rFonts w:hint="eastAsia" w:ascii="仿宋_GB2312" w:eastAsia="仿宋_GB2312"/>
                <w:sz w:val="24"/>
              </w:rPr>
              <w:t>特定元素的迁移2</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5.3.3、</w:t>
            </w:r>
          </w:p>
          <w:p>
            <w:pPr>
              <w:jc w:val="center"/>
              <w:rPr>
                <w:rFonts w:ascii="仿宋_GB2312" w:eastAsia="仿宋_GB2312"/>
                <w:sz w:val="24"/>
              </w:rPr>
            </w:pPr>
            <w:r>
              <w:rPr>
                <w:rFonts w:hint="eastAsia" w:ascii="仿宋_GB2312" w:eastAsia="仿宋_GB2312"/>
                <w:sz w:val="24"/>
              </w:rPr>
              <w:t>GB 6675.4-2014</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 6675.4-2014</w:t>
            </w:r>
          </w:p>
        </w:tc>
        <w:tc>
          <w:tcPr>
            <w:tcW w:w="851" w:type="dxa"/>
            <w:noWrap w:val="0"/>
            <w:vAlign w:val="center"/>
          </w:tcPr>
          <w:p>
            <w:pPr>
              <w:jc w:val="center"/>
              <w:rPr>
                <w:rFonts w:ascii="仿宋_GB2312" w:eastAsia="仿宋_GB2312"/>
                <w:sz w:val="24"/>
              </w:rPr>
            </w:pPr>
            <w:r>
              <w:rPr>
                <w:rFonts w:hint="eastAsia" w:ascii="仿宋_GB2312"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4</w:t>
            </w:r>
          </w:p>
        </w:tc>
        <w:tc>
          <w:tcPr>
            <w:tcW w:w="2268" w:type="dxa"/>
            <w:noWrap w:val="0"/>
            <w:vAlign w:val="center"/>
          </w:tcPr>
          <w:p>
            <w:pPr>
              <w:jc w:val="center"/>
              <w:rPr>
                <w:rFonts w:ascii="仿宋_GB2312" w:eastAsia="仿宋_GB2312"/>
                <w:sz w:val="24"/>
              </w:rPr>
            </w:pPr>
            <w:r>
              <w:rPr>
                <w:rFonts w:hint="eastAsia" w:ascii="仿宋_GB2312" w:eastAsia="仿宋_GB2312"/>
                <w:sz w:val="24"/>
              </w:rPr>
              <w:t>增塑剂3</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5.3.7</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GB/T 22048-2015</w:t>
            </w:r>
          </w:p>
        </w:tc>
        <w:tc>
          <w:tcPr>
            <w:tcW w:w="851" w:type="dxa"/>
            <w:noWrap w:val="0"/>
            <w:vAlign w:val="center"/>
          </w:tcPr>
          <w:p>
            <w:pPr>
              <w:jc w:val="center"/>
              <w:rPr>
                <w:rFonts w:ascii="仿宋_GB2312" w:eastAsia="仿宋_GB2312"/>
                <w:sz w:val="24"/>
              </w:rPr>
            </w:pPr>
            <w:r>
              <w:rPr>
                <w:rFonts w:hint="eastAsia" w:ascii="仿宋_GB2312"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5</w:t>
            </w:r>
          </w:p>
        </w:tc>
        <w:tc>
          <w:tcPr>
            <w:tcW w:w="2268" w:type="dxa"/>
            <w:noWrap w:val="0"/>
            <w:vAlign w:val="center"/>
          </w:tcPr>
          <w:p>
            <w:pPr>
              <w:jc w:val="center"/>
              <w:rPr>
                <w:rFonts w:ascii="仿宋_GB2312" w:eastAsia="仿宋_GB2312"/>
                <w:sz w:val="24"/>
              </w:rPr>
            </w:pPr>
            <w:r>
              <w:rPr>
                <w:rFonts w:hint="eastAsia" w:ascii="仿宋_GB2312" w:eastAsia="仿宋_GB2312"/>
                <w:sz w:val="24"/>
              </w:rPr>
              <w:t>玩具标识（年龄范围、玩具警告标识）</w:t>
            </w:r>
          </w:p>
        </w:tc>
        <w:tc>
          <w:tcPr>
            <w:tcW w:w="2692" w:type="dxa"/>
            <w:noWrap w:val="0"/>
            <w:vAlign w:val="center"/>
          </w:tcPr>
          <w:p>
            <w:pPr>
              <w:jc w:val="center"/>
              <w:rPr>
                <w:rFonts w:ascii="仿宋_GB2312" w:eastAsia="仿宋_GB2312"/>
                <w:sz w:val="24"/>
              </w:rPr>
            </w:pPr>
            <w:r>
              <w:rPr>
                <w:rFonts w:hint="eastAsia" w:ascii="仿宋_GB2312" w:eastAsia="仿宋_GB2312"/>
                <w:sz w:val="24"/>
              </w:rPr>
              <w:t>GB 6675.1-2014 5.7</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GB/T 28022-2011</w:t>
            </w:r>
          </w:p>
          <w:p>
            <w:pPr>
              <w:jc w:val="center"/>
              <w:rPr>
                <w:rFonts w:ascii="仿宋_GB2312" w:eastAsia="仿宋_GB2312"/>
                <w:sz w:val="24"/>
              </w:rPr>
            </w:pPr>
            <w:r>
              <w:rPr>
                <w:rFonts w:hint="eastAsia" w:ascii="仿宋_GB2312" w:eastAsia="仿宋_GB2312"/>
                <w:sz w:val="24"/>
              </w:rPr>
              <w:t>GB 6675.1-2014 5.7</w:t>
            </w:r>
          </w:p>
        </w:tc>
        <w:tc>
          <w:tcPr>
            <w:tcW w:w="851" w:type="dxa"/>
            <w:noWrap w:val="0"/>
            <w:vAlign w:val="center"/>
          </w:tcPr>
          <w:p>
            <w:pPr>
              <w:jc w:val="center"/>
              <w:rPr>
                <w:rFonts w:ascii="仿宋_GB2312" w:eastAsia="仿宋_GB2312"/>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6</w:t>
            </w:r>
          </w:p>
        </w:tc>
        <w:tc>
          <w:tcPr>
            <w:tcW w:w="2268" w:type="dxa"/>
            <w:noWrap w:val="0"/>
            <w:vAlign w:val="center"/>
          </w:tcPr>
          <w:p>
            <w:pPr>
              <w:jc w:val="center"/>
              <w:rPr>
                <w:rFonts w:ascii="仿宋_GB2312" w:eastAsia="仿宋_GB2312"/>
                <w:sz w:val="24"/>
              </w:rPr>
            </w:pPr>
            <w:r>
              <w:rPr>
                <w:rFonts w:hint="eastAsia" w:ascii="仿宋_GB2312" w:eastAsia="仿宋_GB2312"/>
                <w:sz w:val="24"/>
              </w:rPr>
              <w:t>特定挥发性有机化合物释放总量4</w:t>
            </w:r>
          </w:p>
        </w:tc>
        <w:tc>
          <w:tcPr>
            <w:tcW w:w="2692" w:type="dxa"/>
            <w:noWrap w:val="0"/>
            <w:vAlign w:val="center"/>
          </w:tcPr>
          <w:p>
            <w:pPr>
              <w:jc w:val="center"/>
              <w:rPr>
                <w:rFonts w:ascii="仿宋_GB2312" w:eastAsia="仿宋_GB2312"/>
                <w:sz w:val="24"/>
              </w:rPr>
            </w:pPr>
            <w:r>
              <w:rPr>
                <w:rFonts w:hint="eastAsia" w:ascii="仿宋_GB2312" w:eastAsia="仿宋_GB2312"/>
                <w:sz w:val="24"/>
              </w:rPr>
              <w:t>SZJG 55-2018 4.3</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SZJG 55-2018附录A</w:t>
            </w:r>
          </w:p>
        </w:tc>
        <w:tc>
          <w:tcPr>
            <w:tcW w:w="851" w:type="dxa"/>
            <w:noWrap w:val="0"/>
            <w:vAlign w:val="center"/>
          </w:tcPr>
          <w:p>
            <w:pPr>
              <w:jc w:val="center"/>
              <w:rPr>
                <w:rFonts w:ascii="仿宋_GB2312" w:eastAsia="仿宋_GB2312"/>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71" w:type="dxa"/>
            <w:noWrap w:val="0"/>
            <w:vAlign w:val="center"/>
          </w:tcPr>
          <w:p>
            <w:pPr>
              <w:jc w:val="center"/>
              <w:rPr>
                <w:rFonts w:ascii="仿宋_GB2312" w:eastAsia="仿宋_GB2312"/>
                <w:sz w:val="24"/>
              </w:rPr>
            </w:pPr>
            <w:r>
              <w:rPr>
                <w:rFonts w:hint="eastAsia" w:ascii="仿宋_GB2312" w:eastAsia="仿宋_GB2312"/>
                <w:sz w:val="24"/>
              </w:rPr>
              <w:t>7</w:t>
            </w:r>
          </w:p>
        </w:tc>
        <w:tc>
          <w:tcPr>
            <w:tcW w:w="2268" w:type="dxa"/>
            <w:noWrap w:val="0"/>
            <w:vAlign w:val="center"/>
          </w:tcPr>
          <w:p>
            <w:pPr>
              <w:jc w:val="center"/>
              <w:rPr>
                <w:rFonts w:ascii="仿宋_GB2312" w:eastAsia="仿宋_GB2312"/>
                <w:sz w:val="24"/>
              </w:rPr>
            </w:pPr>
            <w:r>
              <w:rPr>
                <w:rFonts w:hint="eastAsia" w:ascii="仿宋_GB2312" w:eastAsia="仿宋_GB2312"/>
                <w:sz w:val="24"/>
              </w:rPr>
              <w:t>甲酰胺4</w:t>
            </w:r>
          </w:p>
        </w:tc>
        <w:tc>
          <w:tcPr>
            <w:tcW w:w="2692" w:type="dxa"/>
            <w:noWrap w:val="0"/>
            <w:vAlign w:val="center"/>
          </w:tcPr>
          <w:p>
            <w:pPr>
              <w:jc w:val="center"/>
              <w:rPr>
                <w:rFonts w:ascii="仿宋_GB2312" w:eastAsia="仿宋_GB2312"/>
                <w:sz w:val="24"/>
              </w:rPr>
            </w:pPr>
            <w:r>
              <w:rPr>
                <w:rFonts w:hint="eastAsia" w:ascii="仿宋_GB2312" w:eastAsia="仿宋_GB2312"/>
                <w:sz w:val="24"/>
              </w:rPr>
              <w:t>SZJG 55-2018 4.4</w:t>
            </w:r>
          </w:p>
        </w:tc>
        <w:tc>
          <w:tcPr>
            <w:tcW w:w="990" w:type="dxa"/>
            <w:noWrap w:val="0"/>
            <w:vAlign w:val="center"/>
          </w:tcPr>
          <w:p>
            <w:pPr>
              <w:jc w:val="center"/>
              <w:rPr>
                <w:rFonts w:ascii="仿宋_GB2312" w:eastAsia="仿宋_GB2312"/>
                <w:sz w:val="24"/>
              </w:rPr>
            </w:pPr>
            <w:r>
              <w:rPr>
                <w:rFonts w:hint="eastAsia" w:ascii="仿宋_GB2312" w:eastAsia="仿宋_GB2312"/>
                <w:sz w:val="24"/>
              </w:rPr>
              <w:t>强制性</w:t>
            </w:r>
          </w:p>
        </w:tc>
        <w:tc>
          <w:tcPr>
            <w:tcW w:w="2411" w:type="dxa"/>
            <w:noWrap w:val="0"/>
            <w:vAlign w:val="center"/>
          </w:tcPr>
          <w:p>
            <w:pPr>
              <w:jc w:val="center"/>
              <w:rPr>
                <w:rFonts w:ascii="仿宋_GB2312" w:eastAsia="仿宋_GB2312"/>
                <w:sz w:val="24"/>
              </w:rPr>
            </w:pPr>
            <w:r>
              <w:rPr>
                <w:rFonts w:hint="eastAsia" w:ascii="仿宋_GB2312" w:eastAsia="仿宋_GB2312"/>
                <w:sz w:val="24"/>
              </w:rPr>
              <w:t>GB/T 34436-2017</w:t>
            </w:r>
          </w:p>
        </w:tc>
        <w:tc>
          <w:tcPr>
            <w:tcW w:w="851" w:type="dxa"/>
            <w:noWrap w:val="0"/>
            <w:vAlign w:val="center"/>
          </w:tcPr>
          <w:p>
            <w:pPr>
              <w:jc w:val="center"/>
              <w:rPr>
                <w:rFonts w:ascii="仿宋_GB2312" w:eastAsia="仿宋_GB2312"/>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3" w:type="dxa"/>
            <w:gridSpan w:val="6"/>
            <w:noWrap w:val="0"/>
            <w:vAlign w:val="center"/>
          </w:tcPr>
          <w:p>
            <w:pPr>
              <w:rPr>
                <w:rFonts w:ascii="仿宋_GB2312" w:eastAsia="仿宋_GB2312"/>
                <w:sz w:val="24"/>
              </w:rPr>
            </w:pPr>
            <w:r>
              <w:rPr>
                <w:rFonts w:hint="eastAsia" w:ascii="仿宋_GB2312" w:eastAsia="仿宋_GB2312"/>
                <w:sz w:val="24"/>
              </w:rPr>
              <w:t>注1：机械与物理性能正常使用不合格项目原则上使用原样进行复检，但因可预见的合理滥用测试导致样品被破坏而使原样不能用于复检时，可用备样复检；可预见的合理滥用测试不合格，应使用备样进行复检。机械与物理性能应对所有适用项目进行测试，不适用的项目应在报告中予以说明。</w:t>
            </w:r>
          </w:p>
          <w:p>
            <w:pPr>
              <w:rPr>
                <w:rFonts w:ascii="仿宋_GB2312" w:eastAsia="仿宋_GB2312"/>
                <w:sz w:val="24"/>
              </w:rPr>
            </w:pPr>
            <w:r>
              <w:rPr>
                <w:rFonts w:hint="eastAsia" w:ascii="仿宋_GB2312" w:eastAsia="仿宋_GB2312"/>
                <w:sz w:val="24"/>
              </w:rPr>
              <w:t>注2：特定元素的迁移项目原则上使用原样复检，但原样样品量不足时，可使用备样复检。</w:t>
            </w:r>
          </w:p>
          <w:p>
            <w:pPr>
              <w:rPr>
                <w:rFonts w:ascii="仿宋_GB2312" w:eastAsia="仿宋_GB2312"/>
                <w:sz w:val="24"/>
              </w:rPr>
            </w:pPr>
            <w:r>
              <w:rPr>
                <w:rFonts w:hint="eastAsia" w:ascii="仿宋_GB2312" w:eastAsia="仿宋_GB2312"/>
                <w:sz w:val="24"/>
              </w:rPr>
              <w:t>注3：增塑剂项目优先选取软胶、皮革或涂层等2个材料进行测试，取样量不足0.1g时不进行测试。增塑剂项目原则上使用原样复检，但原样样品量不足时，可使用备样复检。</w:t>
            </w:r>
          </w:p>
          <w:p>
            <w:pPr>
              <w:rPr>
                <w:rFonts w:ascii="仿宋_GB2312" w:eastAsia="仿宋_GB2312"/>
                <w:sz w:val="24"/>
              </w:rPr>
            </w:pPr>
            <w:r>
              <w:rPr>
                <w:rFonts w:hint="eastAsia" w:ascii="仿宋_GB2312" w:eastAsia="仿宋_GB2312"/>
                <w:sz w:val="24"/>
              </w:rPr>
              <w:t>注4：特定挥发性有机化合物释放总量、甲酰胺项目仅适用于生产领域和实体店抽取的儿童地垫产品。</w:t>
            </w:r>
          </w:p>
        </w:tc>
      </w:tr>
    </w:tbl>
    <w:p>
      <w:pPr>
        <w:snapToGrid w:val="0"/>
        <w:spacing w:line="540" w:lineRule="exact"/>
        <w:rPr>
          <w:rFonts w:ascii="仿宋_GB2312" w:hAnsi="宋体" w:eastAsia="仿宋_GB2312"/>
          <w:b/>
          <w:bCs/>
          <w:sz w:val="32"/>
          <w:szCs w:val="32"/>
        </w:rPr>
      </w:pPr>
    </w:p>
    <w:p>
      <w:pPr>
        <w:snapToGrid w:val="0"/>
        <w:spacing w:line="360" w:lineRule="auto"/>
        <w:rPr>
          <w:rFonts w:ascii="仿宋_GB2312" w:hAnsi="宋体" w:eastAsia="仿宋_GB2312"/>
          <w:b/>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 xml:space="preserve"> 检验应注意的问题</w:t>
      </w:r>
    </w:p>
    <w:p>
      <w:pPr>
        <w:snapToGrid w:val="0"/>
        <w:spacing w:line="360" w:lineRule="auto"/>
        <w:rPr>
          <w:rFonts w:ascii="仿宋_GB2312" w:hAnsi="宋体" w:eastAsia="仿宋_GB2312"/>
          <w:iCs/>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 xml:space="preserve">6.2.2 </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 xml:space="preserve">6.2.3 </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pStyle w:val="3"/>
      </w:pPr>
      <w:r>
        <w:rPr>
          <w:rFonts w:hint="eastAsia"/>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pPr>
      <w:r>
        <w:rPr>
          <w:rFonts w:hint="eastAsia"/>
        </w:rPr>
        <w:t>8 异议处理复检</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 xml:space="preserve">8.1 </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 xml:space="preserve">8.2 </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 xml:space="preserve">8.3 </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ascii="仿宋_GB2312" w:eastAsia="仿宋_GB2312" w:cs="Sim Sun"/>
          <w:bCs/>
          <w:kern w:val="0"/>
          <w:sz w:val="28"/>
          <w:szCs w:val="28"/>
        </w:rPr>
      </w:pPr>
      <w:r>
        <w:rPr>
          <w:rFonts w:hint="eastAsia" w:ascii="仿宋_GB2312" w:eastAsia="仿宋_GB2312" w:cs="Sim Sun"/>
          <w:b/>
          <w:kern w:val="0"/>
          <w:sz w:val="28"/>
          <w:szCs w:val="28"/>
        </w:rPr>
        <w:t xml:space="preserve">8.4 </w:t>
      </w:r>
      <w:r>
        <w:rPr>
          <w:rFonts w:hint="eastAsia" w:ascii="仿宋_GB2312" w:eastAsia="仿宋_GB2312" w:cs="Sim Sun"/>
          <w:bCs/>
          <w:kern w:val="0"/>
          <w:sz w:val="28"/>
          <w:szCs w:val="28"/>
        </w:rPr>
        <w:t>若复检机构与初检机构为同一家机构，则复验检验人员与初检检验人员不得为同一人（含审核人员）。</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 xml:space="preserve">8.5 </w:t>
      </w:r>
      <w:r>
        <w:rPr>
          <w:rFonts w:hint="eastAsia" w:ascii="仿宋_GB2312" w:eastAsia="仿宋_GB2312" w:cs="Sim Sun"/>
          <w:kern w:val="0"/>
          <w:sz w:val="28"/>
          <w:szCs w:val="28"/>
        </w:rPr>
        <w:t>需对不合格项目复验时，按6.1选择复检样品。</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 xml:space="preserve">8.6 </w:t>
      </w:r>
      <w:r>
        <w:rPr>
          <w:rFonts w:hint="eastAsia" w:ascii="仿宋_GB2312" w:eastAsia="仿宋_GB2312" w:cs="Sim Sun"/>
          <w:iCs/>
          <w:kern w:val="0"/>
          <w:sz w:val="28"/>
          <w:szCs w:val="28"/>
        </w:rPr>
        <w:t>深圳市市场监督管理局根据初检、复验结果及企业提交的证明材料，做出复检结论，复检结论为最终结论。</w:t>
      </w:r>
    </w:p>
    <w:p>
      <w:pPr>
        <w:pStyle w:val="3"/>
      </w:pPr>
      <w:r>
        <w:t>9</w:t>
      </w:r>
      <w:r>
        <w:rPr>
          <w:rFonts w:hint="eastAsia"/>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ind w:firstLine="560" w:firstLineChars="200"/>
      </w:pPr>
      <w:bookmarkStart w:id="0" w:name="_GoBack"/>
      <w:bookmarkEnd w:id="0"/>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D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eastAsia="黑体"/>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eastAsia="仿宋_GB2312"/>
      <w:b/>
      <w:bCs/>
      <w:sz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2020-05-20T06:21:06Z</dcterms:created>
  <dc:creator>changmy</dc:creator>
  <cp:lastModifiedBy>常孟园</cp:lastModifiedBy>
  <dcterms:modified xsi:type="dcterms:W3CDTF">2020-05-20T06:21:23Z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