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sz w:val="32"/>
          <w:szCs w:val="32"/>
        </w:rPr>
        <w:t>附件1</w:t>
      </w:r>
    </w:p>
    <w:p>
      <w:pPr>
        <w:spacing w:before="234" w:beforeLines="75" w:line="360" w:lineRule="auto"/>
        <w:jc w:val="center"/>
        <w:rPr>
          <w:rFonts w:ascii="黑体" w:hAnsi="黑体" w:eastAsia="黑体"/>
          <w:bCs/>
          <w:sz w:val="36"/>
          <w:szCs w:val="36"/>
        </w:rPr>
      </w:pPr>
      <w:r>
        <w:rPr>
          <w:rFonts w:hint="eastAsia" w:ascii="黑体" w:hAnsi="黑体" w:eastAsia="黑体"/>
          <w:bCs/>
          <w:sz w:val="36"/>
          <w:szCs w:val="36"/>
        </w:rPr>
        <w:t>深圳市市场监督管理局</w:t>
      </w:r>
    </w:p>
    <w:p>
      <w:pPr>
        <w:spacing w:before="234" w:beforeLines="75" w:line="360" w:lineRule="auto"/>
        <w:jc w:val="center"/>
        <w:rPr>
          <w:rFonts w:ascii="黑体" w:hAnsi="黑体" w:eastAsia="黑体"/>
          <w:bCs/>
          <w:sz w:val="36"/>
          <w:szCs w:val="36"/>
        </w:rPr>
      </w:pPr>
      <w:r>
        <w:rPr>
          <w:rFonts w:hint="eastAsia" w:ascii="黑体" w:hAnsi="黑体" w:eastAsia="黑体"/>
          <w:bCs/>
          <w:sz w:val="36"/>
          <w:szCs w:val="36"/>
        </w:rPr>
        <w:t>壁纸产品质量监督抽查实施规范</w:t>
      </w:r>
    </w:p>
    <w:p>
      <w:pPr>
        <w:spacing w:before="234" w:beforeLines="75" w:line="360" w:lineRule="auto"/>
        <w:jc w:val="center"/>
        <w:rPr>
          <w:rFonts w:ascii="黑体" w:hAnsi="黑体" w:eastAsia="黑体"/>
          <w:sz w:val="28"/>
        </w:rPr>
      </w:pPr>
      <w:r>
        <w:rPr>
          <w:rFonts w:hint="eastAsia" w:ascii="黑体" w:hAnsi="黑体" w:eastAsia="黑体"/>
          <w:sz w:val="28"/>
        </w:rPr>
        <w:t>编号：</w:t>
      </w:r>
      <w:r>
        <w:rPr>
          <w:rFonts w:hint="eastAsia" w:ascii="黑体" w:hAnsi="黑体" w:eastAsia="黑体"/>
          <w:bCs/>
          <w:sz w:val="28"/>
        </w:rPr>
        <w:t>CCGF-SZ-131-2020</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1 适用范围</w:t>
      </w:r>
    </w:p>
    <w:p>
      <w:pPr>
        <w:snapToGrid w:val="0"/>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本规范适用于以纸为基材的壁纸。</w:t>
      </w:r>
    </w:p>
    <w:p>
      <w:pPr>
        <w:snapToGrid w:val="0"/>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本细则内容包括适用范围、产品种类、术语和定义、检验依据、抽样、检验要求，判定原则及异议处理复检。</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2产品种类</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产品种类见表1。</w:t>
      </w:r>
    </w:p>
    <w:p>
      <w:pPr>
        <w:snapToGrid w:val="0"/>
        <w:spacing w:line="360" w:lineRule="auto"/>
        <w:jc w:val="center"/>
        <w:rPr>
          <w:rFonts w:ascii="黑体" w:hAnsi="黑体" w:eastAsia="黑体"/>
          <w:sz w:val="28"/>
          <w:szCs w:val="28"/>
        </w:rPr>
      </w:pPr>
      <w:r>
        <w:rPr>
          <w:rFonts w:hint="eastAsia" w:ascii="黑体" w:hAnsi="黑体" w:eastAsia="黑体"/>
          <w:sz w:val="28"/>
          <w:szCs w:val="28"/>
        </w:rPr>
        <w:t>表1  产品种类</w:t>
      </w:r>
    </w:p>
    <w:tbl>
      <w:tblPr>
        <w:tblStyle w:val="5"/>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70"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w:t>
            </w:r>
          </w:p>
        </w:tc>
        <w:tc>
          <w:tcPr>
            <w:tcW w:w="7229"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0" w:type="dxa"/>
            <w:noWrap w:val="0"/>
            <w:vAlign w:val="center"/>
          </w:tcPr>
          <w:p>
            <w:pPr>
              <w:snapToGrid w:val="0"/>
              <w:spacing w:line="300" w:lineRule="exact"/>
              <w:jc w:val="center"/>
              <w:rPr>
                <w:rFonts w:ascii="仿宋_GB2312" w:hAnsi="宋体" w:eastAsia="仿宋_GB2312"/>
                <w:sz w:val="24"/>
              </w:rPr>
            </w:pPr>
            <w:r>
              <w:rPr>
                <w:rFonts w:hint="eastAsia" w:ascii="仿宋_GB2312" w:hAnsi="宋体" w:eastAsia="仿宋_GB2312"/>
                <w:sz w:val="24"/>
              </w:rPr>
              <w:t>壁纸</w:t>
            </w:r>
          </w:p>
        </w:tc>
        <w:tc>
          <w:tcPr>
            <w:tcW w:w="7229" w:type="dxa"/>
            <w:noWrap w:val="0"/>
            <w:vAlign w:val="center"/>
          </w:tcPr>
          <w:p>
            <w:pPr>
              <w:snapToGrid w:val="0"/>
              <w:spacing w:line="300" w:lineRule="exact"/>
              <w:jc w:val="left"/>
              <w:rPr>
                <w:rFonts w:ascii="仿宋_GB2312" w:hAnsi="宋体" w:eastAsia="仿宋_GB2312"/>
                <w:sz w:val="24"/>
              </w:rPr>
            </w:pPr>
            <w:r>
              <w:rPr>
                <w:rFonts w:hint="eastAsia" w:ascii="仿宋_GB2312" w:hAnsi="宋体" w:eastAsia="仿宋_GB2312"/>
                <w:sz w:val="24"/>
              </w:rPr>
              <w:t>以纸为基材的壁纸。</w:t>
            </w:r>
          </w:p>
        </w:tc>
      </w:tr>
    </w:tbl>
    <w:p>
      <w:pPr>
        <w:snapToGrid w:val="0"/>
        <w:spacing w:before="156" w:beforeLines="50" w:line="360" w:lineRule="auto"/>
        <w:rPr>
          <w:rFonts w:ascii="仿宋_GB2312" w:hAnsi="宋体" w:eastAsia="仿宋_GB2312"/>
          <w:b/>
          <w:sz w:val="32"/>
          <w:szCs w:val="32"/>
        </w:rPr>
      </w:pPr>
      <w:r>
        <w:rPr>
          <w:rFonts w:hint="eastAsia" w:ascii="仿宋_GB2312" w:hAnsi="宋体" w:eastAsia="仿宋_GB2312"/>
          <w:b/>
          <w:sz w:val="32"/>
          <w:szCs w:val="32"/>
        </w:rPr>
        <w:t>3 术语和定义</w:t>
      </w:r>
    </w:p>
    <w:p>
      <w:pPr>
        <w:snapToGrid w:val="0"/>
        <w:spacing w:line="360" w:lineRule="auto"/>
        <w:ind w:firstLine="614" w:firstLineChars="192"/>
        <w:rPr>
          <w:rFonts w:ascii="仿宋_GB2312" w:hAnsi="宋体" w:eastAsia="仿宋_GB2312"/>
          <w:sz w:val="32"/>
          <w:szCs w:val="28"/>
        </w:rPr>
      </w:pPr>
      <w:r>
        <w:rPr>
          <w:rFonts w:hint="eastAsia" w:ascii="仿宋_GB2312" w:hAnsi="宋体" w:eastAsia="仿宋_GB2312"/>
          <w:sz w:val="32"/>
          <w:szCs w:val="28"/>
        </w:rPr>
        <w:t>术语和定义见表2。</w:t>
      </w:r>
    </w:p>
    <w:p>
      <w:pPr>
        <w:snapToGrid w:val="0"/>
        <w:spacing w:line="360" w:lineRule="auto"/>
        <w:jc w:val="center"/>
        <w:rPr>
          <w:rFonts w:ascii="黑体" w:hAnsi="黑体" w:eastAsia="黑体"/>
          <w:sz w:val="28"/>
          <w:szCs w:val="28"/>
        </w:rPr>
      </w:pPr>
      <w:r>
        <w:rPr>
          <w:rFonts w:hint="eastAsia" w:ascii="黑体" w:hAnsi="黑体" w:eastAsia="黑体"/>
          <w:sz w:val="28"/>
          <w:szCs w:val="28"/>
        </w:rPr>
        <w:t>表2  术语和定义</w:t>
      </w: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blHeader/>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sz w:val="24"/>
              </w:rPr>
            </w:pPr>
            <w:r>
              <w:rPr>
                <w:rFonts w:hint="eastAsia" w:ascii="黑体" w:hAnsi="黑体" w:eastAsia="黑体"/>
                <w:sz w:val="24"/>
              </w:rPr>
              <w:t>产品种类</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仿宋_GB2312" w:hAnsi="宋体" w:eastAsia="仿宋_GB2312"/>
                <w:sz w:val="24"/>
              </w:rPr>
            </w:pPr>
            <w:r>
              <w:rPr>
                <w:rFonts w:hint="eastAsia" w:ascii="仿宋_GB2312" w:hAnsi="宋体" w:eastAsia="仿宋_GB2312"/>
                <w:sz w:val="24"/>
              </w:rPr>
              <w:t>壁纸(以纸为基材的壁纸)</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仿宋_GB2312" w:hAnsi="宋体" w:eastAsia="仿宋_GB2312"/>
                <w:sz w:val="24"/>
              </w:rPr>
            </w:pPr>
            <w:r>
              <w:rPr>
                <w:rFonts w:hint="eastAsia" w:ascii="仿宋_GB2312" w:hAnsi="宋体" w:eastAsia="仿宋_GB2312"/>
                <w:sz w:val="24"/>
              </w:rPr>
              <w:t>主要以纸为基材，通过胶粘剂贴于墙面或天花板上的装饰材料，不包括墙毡及其他类似墙挂。</w:t>
            </w:r>
          </w:p>
        </w:tc>
      </w:tr>
    </w:tbl>
    <w:p>
      <w:pPr>
        <w:snapToGrid w:val="0"/>
        <w:spacing w:before="156" w:beforeLines="50" w:line="360" w:lineRule="auto"/>
        <w:rPr>
          <w:rFonts w:ascii="仿宋_GB2312" w:hAnsi="宋体" w:eastAsia="仿宋_GB2312"/>
          <w:b/>
          <w:sz w:val="32"/>
          <w:szCs w:val="32"/>
        </w:rPr>
      </w:pPr>
      <w:r>
        <w:rPr>
          <w:rFonts w:hint="eastAsia" w:ascii="仿宋_GB2312" w:hAnsi="宋体" w:eastAsia="仿宋_GB2312"/>
          <w:b/>
          <w:sz w:val="32"/>
          <w:szCs w:val="32"/>
        </w:rPr>
        <w:t>4 检验依据</w:t>
      </w:r>
    </w:p>
    <w:p>
      <w:pPr>
        <w:snapToGrid w:val="0"/>
        <w:spacing w:line="360" w:lineRule="auto"/>
        <w:ind w:firstLine="614" w:firstLineChars="192"/>
        <w:rPr>
          <w:rFonts w:ascii="仿宋_GB2312" w:hAnsi="宋体" w:eastAsia="仿宋_GB2312"/>
          <w:sz w:val="32"/>
          <w:szCs w:val="28"/>
        </w:rPr>
      </w:pPr>
      <w:r>
        <w:rPr>
          <w:rFonts w:hint="eastAsia" w:ascii="仿宋_GB2312" w:hAnsi="宋体" w:eastAsia="仿宋_GB2312"/>
          <w:sz w:val="32"/>
          <w:szCs w:val="28"/>
        </w:rPr>
        <w:t>检验依据见表3。</w:t>
      </w:r>
    </w:p>
    <w:p>
      <w:pPr>
        <w:snapToGrid w:val="0"/>
        <w:spacing w:line="360" w:lineRule="auto"/>
        <w:jc w:val="center"/>
        <w:rPr>
          <w:rFonts w:ascii="黑体" w:hAnsi="宋体" w:eastAsia="黑体"/>
          <w:sz w:val="28"/>
          <w:szCs w:val="28"/>
        </w:rPr>
      </w:pPr>
      <w:r>
        <w:rPr>
          <w:rFonts w:hint="eastAsia" w:ascii="黑体" w:hAnsi="宋体" w:eastAsia="黑体"/>
          <w:sz w:val="28"/>
          <w:szCs w:val="28"/>
        </w:rPr>
        <w:t>表3  检验依据</w:t>
      </w:r>
    </w:p>
    <w:tbl>
      <w:tblPr>
        <w:tblStyle w:val="5"/>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42"/>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黑体" w:hAnsi="黑体" w:eastAsia="黑体"/>
                <w:sz w:val="24"/>
              </w:rPr>
            </w:pPr>
            <w:r>
              <w:rPr>
                <w:rFonts w:hint="eastAsia" w:ascii="黑体" w:hAnsi="黑体" w:eastAsia="黑体"/>
                <w:sz w:val="24"/>
              </w:rPr>
              <w:t>标准号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黑体" w:hAnsi="黑体" w:eastAsia="黑体"/>
                <w:sz w:val="24"/>
              </w:rPr>
            </w:pPr>
            <w:r>
              <w:rPr>
                <w:rFonts w:hint="eastAsia" w:ascii="黑体" w:hAnsi="黑体" w:eastAsia="黑体"/>
                <w:sz w:val="24"/>
              </w:rPr>
              <w:t>标准名称</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7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rPr>
                <w:rFonts w:ascii="仿宋_GB2312" w:hAnsi="宋体" w:eastAsia="仿宋_GB2312"/>
                <w:sz w:val="24"/>
              </w:rPr>
            </w:pPr>
            <w:r>
              <w:rPr>
                <w:rFonts w:hint="eastAsia" w:ascii="仿宋_GB2312" w:hAnsi="宋体" w:eastAsia="仿宋_GB2312"/>
                <w:sz w:val="24"/>
              </w:rPr>
              <w:t>GB 18585-2001</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hAnsi="宋体" w:eastAsia="仿宋_GB2312"/>
                <w:sz w:val="24"/>
              </w:rPr>
            </w:pPr>
            <w:r>
              <w:rPr>
                <w:rFonts w:hint="eastAsia" w:ascii="仿宋_GB2312" w:hAnsi="宋体" w:eastAsia="仿宋_GB2312"/>
                <w:sz w:val="24"/>
              </w:rPr>
              <w:t>《室内装饰装修材料 壁纸中有害物质限量》</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Calibri"/>
                <w:sz w:val="24"/>
              </w:rPr>
            </w:pPr>
            <w:r>
              <w:rPr>
                <w:rFonts w:ascii="宋体" w:hAnsi="Calibri"/>
                <w:sz w:val="24"/>
              </w:rPr>
              <w:sym w:font="Wingdings 2" w:char="F052"/>
            </w:r>
            <w:r>
              <w:rPr>
                <w:rFonts w:hint="eastAsia" w:ascii="仿宋_GB2312" w:hAnsi="宋体" w:eastAsia="仿宋_GB2312"/>
                <w:sz w:val="24"/>
              </w:rPr>
              <w:t xml:space="preserve">CMA </w:t>
            </w:r>
            <w:r>
              <w:rPr>
                <w:rFonts w:ascii="宋体" w:hAnsi="Calibri"/>
                <w:sz w:val="24"/>
              </w:rPr>
              <w:sym w:font="Wingdings 2" w:char="F052"/>
            </w:r>
            <w:r>
              <w:rPr>
                <w:rFonts w:hint="eastAsia" w:ascii="仿宋_GB2312" w:hAnsi="宋体" w:eastAsia="仿宋_GB2312"/>
                <w:sz w:val="24"/>
              </w:rPr>
              <w:t xml:space="preserve">CAL </w:t>
            </w:r>
            <w:r>
              <w:rPr>
                <w:rFonts w:ascii="宋体" w:hAnsi="Calibri"/>
                <w:sz w:val="24"/>
              </w:rPr>
              <w:sym w:font="Wingdings 2" w:char="F052"/>
            </w:r>
            <w:r>
              <w:rPr>
                <w:rFonts w:hint="eastAsia" w:ascii="仿宋_GB2312" w:hAnsi="宋体" w:eastAsia="仿宋_GB2312"/>
                <w:sz w:val="24"/>
              </w:rPr>
              <w:t>CNAS</w:t>
            </w:r>
          </w:p>
        </w:tc>
      </w:tr>
    </w:tbl>
    <w:p>
      <w:pPr>
        <w:snapToGrid w:val="0"/>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相关的产品强制性标准、行业标准、政府法规及产品的明示标准和明示担保内容。</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5 抽样</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5.1 抽样型号或规格</w:t>
      </w:r>
    </w:p>
    <w:p>
      <w:pPr>
        <w:snapToGrid w:val="0"/>
        <w:spacing w:line="360" w:lineRule="auto"/>
        <w:ind w:firstLine="614" w:firstLineChars="192"/>
        <w:rPr>
          <w:rFonts w:ascii="仿宋_GB2312" w:hAnsi="宋体" w:eastAsia="仿宋_GB2312"/>
          <w:sz w:val="32"/>
          <w:szCs w:val="32"/>
        </w:rPr>
      </w:pPr>
      <w:r>
        <w:rPr>
          <w:rFonts w:hint="eastAsia" w:ascii="仿宋_GB2312" w:hAnsi="宋体" w:eastAsia="仿宋_GB2312"/>
          <w:sz w:val="32"/>
          <w:szCs w:val="32"/>
        </w:rPr>
        <w:t>抽取样品须为同一型号规格，同一批次的产品。</w:t>
      </w:r>
    </w:p>
    <w:p>
      <w:pPr>
        <w:snapToGrid w:val="0"/>
        <w:spacing w:line="360" w:lineRule="auto"/>
        <w:rPr>
          <w:rFonts w:ascii="仿宋_GB2312" w:hAnsi="宋体" w:eastAsia="仿宋_GB2312"/>
          <w:sz w:val="32"/>
          <w:szCs w:val="28"/>
        </w:rPr>
      </w:pPr>
      <w:r>
        <w:rPr>
          <w:rFonts w:hint="eastAsia" w:ascii="仿宋_GB2312" w:hAnsi="仿宋" w:eastAsia="仿宋_GB2312"/>
          <w:b/>
          <w:sz w:val="32"/>
          <w:szCs w:val="32"/>
        </w:rPr>
        <w:t xml:space="preserve">5.2 </w:t>
      </w:r>
      <w:r>
        <w:rPr>
          <w:rFonts w:hint="eastAsia" w:ascii="仿宋_GB2312" w:hAnsi="宋体" w:eastAsia="仿宋_GB2312"/>
          <w:b/>
          <w:sz w:val="32"/>
          <w:szCs w:val="32"/>
        </w:rPr>
        <w:t>取样方式</w:t>
      </w:r>
      <w:r>
        <w:rPr>
          <w:rFonts w:hint="eastAsia" w:ascii="仿宋_GB2312" w:hAnsi="宋体" w:eastAsia="仿宋_GB2312"/>
          <w:b/>
          <w:sz w:val="32"/>
          <w:szCs w:val="32"/>
        </w:rPr>
        <w:br w:type="textWrapping"/>
      </w:r>
      <w:r>
        <w:rPr>
          <w:rFonts w:hint="eastAsia" w:ascii="仿宋_GB2312" w:hAnsi="宋体" w:eastAsia="仿宋_GB2312"/>
          <w:b/>
          <w:bCs/>
          <w:sz w:val="32"/>
          <w:szCs w:val="28"/>
        </w:rPr>
        <w:t>生产领域：</w:t>
      </w:r>
      <w:r>
        <w:rPr>
          <w:rFonts w:hint="eastAsia" w:ascii="仿宋_GB2312" w:hAnsi="宋体" w:eastAsia="仿宋_GB2312"/>
          <w:sz w:val="32"/>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32"/>
          <w:szCs w:val="28"/>
        </w:rPr>
        <w:t>向被抽样企业提交</w:t>
      </w:r>
      <w:r>
        <w:rPr>
          <w:rFonts w:hint="eastAsia" w:ascii="仿宋_GB2312" w:hAnsi="宋体" w:eastAsia="仿宋_GB2312"/>
          <w:sz w:val="32"/>
          <w:szCs w:val="28"/>
        </w:rPr>
        <w:t>《无偿提供样品通知书》及</w:t>
      </w:r>
      <w:r>
        <w:rPr>
          <w:rFonts w:ascii="仿宋_GB2312" w:hAnsi="宋体" w:eastAsia="仿宋_GB2312"/>
          <w:sz w:val="32"/>
          <w:szCs w:val="28"/>
        </w:rPr>
        <w:t>《退样通知书》，被抽样企业可凭《退样通知书》并按相关规定退回无偿提供的样品。</w:t>
      </w:r>
    </w:p>
    <w:p>
      <w:pPr>
        <w:snapToGrid w:val="0"/>
        <w:spacing w:line="360" w:lineRule="auto"/>
        <w:rPr>
          <w:rFonts w:ascii="仿宋_GB2312" w:hAnsi="宋体" w:eastAsia="仿宋_GB2312"/>
          <w:sz w:val="32"/>
          <w:szCs w:val="32"/>
        </w:rPr>
      </w:pPr>
      <w:r>
        <w:rPr>
          <w:rFonts w:hint="eastAsia" w:ascii="仿宋_GB2312" w:hAnsi="宋体" w:eastAsia="仿宋_GB2312"/>
          <w:b/>
          <w:bCs/>
          <w:sz w:val="32"/>
          <w:szCs w:val="32"/>
        </w:rPr>
        <w:t>流通领域：</w:t>
      </w:r>
      <w:r>
        <w:rPr>
          <w:rFonts w:hint="eastAsia" w:ascii="仿宋_GB2312" w:hAnsi="宋体" w:eastAsia="仿宋_GB2312"/>
          <w:sz w:val="32"/>
          <w:szCs w:val="32"/>
        </w:rPr>
        <w:t>本次抽样采取在流通领域实体店方式获得样品。</w:t>
      </w:r>
    </w:p>
    <w:p>
      <w:pPr>
        <w:snapToGrid w:val="0"/>
        <w:spacing w:line="360" w:lineRule="auto"/>
        <w:rPr>
          <w:rFonts w:ascii="仿宋_GB2312" w:hAnsi="宋体" w:eastAsia="仿宋_GB2312"/>
          <w:sz w:val="32"/>
          <w:szCs w:val="32"/>
        </w:rPr>
      </w:pPr>
      <w:r>
        <w:rPr>
          <w:rFonts w:hint="eastAsia" w:ascii="仿宋_GB2312" w:hAnsi="宋体" w:eastAsia="仿宋_GB2312"/>
          <w:sz w:val="32"/>
          <w:szCs w:val="32"/>
        </w:rPr>
        <w:t xml:space="preserve">    （1）实体店：在市场上随机抽取经企业检验合格或以任何方式表明已检验合格的并在国内销售的成品。在经销企业抽样，检验样品原则上以向商家购样为主，备用样品由商家先行无偿提供，并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32"/>
          <w:szCs w:val="32"/>
        </w:rPr>
        <w:t>向被抽样企业提交</w:t>
      </w:r>
      <w:r>
        <w:rPr>
          <w:rFonts w:hint="eastAsia" w:ascii="仿宋_GB2312" w:hAnsi="宋体" w:eastAsia="仿宋_GB2312"/>
          <w:sz w:val="32"/>
          <w:szCs w:val="32"/>
        </w:rPr>
        <w:t>《无偿提供样品通知书》及</w:t>
      </w:r>
      <w:r>
        <w:rPr>
          <w:rFonts w:ascii="仿宋_GB2312" w:hAnsi="宋体" w:eastAsia="仿宋_GB2312"/>
          <w:sz w:val="32"/>
          <w:szCs w:val="32"/>
        </w:rPr>
        <w:t>《退样通知书》，被抽样企业可凭《退样通知书》并按相关规定退回无偿提供的样品。</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r>
        <w:rPr>
          <w:rFonts w:hint="eastAsia" w:ascii="仿宋_GB2312" w:hAnsi="宋体" w:eastAsia="仿宋_GB2312"/>
          <w:sz w:val="32"/>
          <w:szCs w:val="32"/>
        </w:rPr>
        <w:br w:type="textWrapping"/>
      </w:r>
      <w:r>
        <w:rPr>
          <w:rFonts w:hint="eastAsia" w:ascii="仿宋_GB2312" w:hAnsi="宋体" w:eastAsia="仿宋_GB2312"/>
          <w:b/>
          <w:sz w:val="32"/>
          <w:szCs w:val="32"/>
        </w:rPr>
        <w:t>5.3 抽样基数</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在生产企业和市场上抽样时，抽样基数应不少于抽取样品量。</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5.4 抽样数量</w:t>
      </w:r>
    </w:p>
    <w:p>
      <w:pPr>
        <w:widowControl/>
        <w:adjustRightInd w:val="0"/>
        <w:snapToGrid w:val="0"/>
        <w:spacing w:line="640" w:lineRule="exact"/>
        <w:ind w:firstLine="643" w:firstLineChars="200"/>
        <w:rPr>
          <w:rFonts w:ascii="楷体" w:hAnsi="楷体" w:eastAsia="楷体"/>
          <w:b/>
          <w:bCs/>
          <w:kern w:val="0"/>
          <w:sz w:val="32"/>
          <w:szCs w:val="32"/>
        </w:rPr>
      </w:pPr>
      <w:r>
        <w:rPr>
          <w:rFonts w:hint="eastAsia" w:ascii="楷体" w:hAnsi="楷体" w:eastAsia="楷体"/>
          <w:b/>
          <w:bCs/>
          <w:kern w:val="0"/>
          <w:sz w:val="32"/>
          <w:szCs w:val="32"/>
        </w:rPr>
        <w:t>（二）抽样数量</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随机抽取同一规格型号的2组样品，1组作为检验样品，1组作为备用样品，抽取样品总面积大于6平方米。其中，检验样品不得少于3平方米，备用样品不得少于3平方米。</w:t>
      </w:r>
    </w:p>
    <w:p>
      <w:pPr>
        <w:snapToGrid w:val="0"/>
        <w:spacing w:line="360" w:lineRule="auto"/>
        <w:ind w:firstLine="640" w:firstLineChars="200"/>
        <w:rPr>
          <w:rFonts w:ascii="仿宋_GB2312" w:hAnsi="宋体" w:eastAsia="仿宋_GB2312"/>
          <w:bCs/>
          <w:sz w:val="32"/>
          <w:szCs w:val="28"/>
        </w:rPr>
      </w:pPr>
      <w:r>
        <w:rPr>
          <w:rFonts w:hint="eastAsia" w:ascii="仿宋_GB2312" w:hAnsi="宋体" w:eastAsia="仿宋_GB2312"/>
          <w:bCs/>
          <w:sz w:val="32"/>
          <w:szCs w:val="28"/>
        </w:rPr>
        <w:t>生产领域：</w:t>
      </w:r>
      <w:r>
        <w:rPr>
          <w:rFonts w:hint="eastAsia" w:ascii="仿宋_GB2312" w:hAnsi="宋体" w:eastAsia="仿宋_GB2312"/>
          <w:sz w:val="32"/>
          <w:szCs w:val="32"/>
        </w:rPr>
        <w:t>随机抽取同一规格型号的2组样品，</w:t>
      </w:r>
      <w:r>
        <w:rPr>
          <w:rFonts w:hint="eastAsia" w:ascii="仿宋_GB2312" w:hAnsi="宋体" w:eastAsia="仿宋_GB2312"/>
          <w:bCs/>
          <w:sz w:val="32"/>
          <w:szCs w:val="28"/>
        </w:rPr>
        <w:t>1组作为检验样品带回承检单位，1组作为备用样品封存于承检单位；</w:t>
      </w:r>
    </w:p>
    <w:p>
      <w:pPr>
        <w:snapToGrid w:val="0"/>
        <w:spacing w:line="360" w:lineRule="auto"/>
        <w:ind w:firstLine="640" w:firstLineChars="200"/>
        <w:rPr>
          <w:rFonts w:ascii="仿宋_GB2312" w:hAnsi="宋体" w:eastAsia="仿宋_GB2312"/>
          <w:bCs/>
          <w:sz w:val="32"/>
          <w:szCs w:val="28"/>
        </w:rPr>
      </w:pPr>
      <w:r>
        <w:rPr>
          <w:rFonts w:hint="eastAsia" w:ascii="仿宋_GB2312" w:hAnsi="宋体" w:eastAsia="仿宋_GB2312"/>
          <w:bCs/>
          <w:sz w:val="32"/>
          <w:szCs w:val="28"/>
        </w:rPr>
        <w:t>流通领域（实体店）：</w:t>
      </w:r>
      <w:r>
        <w:rPr>
          <w:rFonts w:hint="eastAsia" w:ascii="仿宋_GB2312" w:hAnsi="宋体" w:eastAsia="仿宋_GB2312"/>
          <w:sz w:val="32"/>
          <w:szCs w:val="32"/>
        </w:rPr>
        <w:t>随机抽取同一规格型号的2组样品，</w:t>
      </w:r>
      <w:r>
        <w:rPr>
          <w:rFonts w:hint="eastAsia" w:ascii="仿宋_GB2312" w:hAnsi="宋体" w:eastAsia="仿宋_GB2312"/>
          <w:bCs/>
          <w:sz w:val="32"/>
          <w:szCs w:val="28"/>
        </w:rPr>
        <w:t>1组作为检验样品带回承检单位，1组作为备用样品封存于承检单位。</w:t>
      </w:r>
    </w:p>
    <w:p>
      <w:pPr>
        <w:snapToGrid w:val="0"/>
        <w:spacing w:line="360" w:lineRule="auto"/>
        <w:ind w:firstLine="640" w:firstLineChars="200"/>
        <w:rPr>
          <w:rFonts w:ascii="仿宋_GB2312" w:hAnsi="宋体" w:eastAsia="仿宋_GB2312"/>
          <w:bCs/>
          <w:sz w:val="32"/>
          <w:szCs w:val="28"/>
        </w:rPr>
      </w:pPr>
      <w:r>
        <w:rPr>
          <w:rFonts w:hint="eastAsia" w:ascii="仿宋_GB2312" w:hAnsi="宋体" w:eastAsia="仿宋_GB2312"/>
          <w:bCs/>
          <w:sz w:val="32"/>
          <w:szCs w:val="28"/>
        </w:rPr>
        <w:t>流通领域（网络交易平台）：</w:t>
      </w:r>
      <w:r>
        <w:rPr>
          <w:rFonts w:hint="eastAsia" w:ascii="仿宋_GB2312" w:hAnsi="宋体" w:eastAsia="仿宋_GB2312"/>
          <w:sz w:val="32"/>
          <w:szCs w:val="32"/>
        </w:rPr>
        <w:t>随机抽取同一规格型号的2组样品，</w:t>
      </w:r>
      <w:r>
        <w:rPr>
          <w:rFonts w:hint="eastAsia" w:ascii="仿宋_GB2312" w:hAnsi="宋体" w:eastAsia="仿宋_GB2312"/>
          <w:bCs/>
          <w:sz w:val="32"/>
          <w:szCs w:val="28"/>
        </w:rPr>
        <w:t>1组作为检验样品带回承检单位，1组作为备用样品封存于承检单位。</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5.5 样品处置</w:t>
      </w:r>
    </w:p>
    <w:p>
      <w:pPr>
        <w:spacing w:line="360" w:lineRule="auto"/>
        <w:rPr>
          <w:rFonts w:ascii="仿宋_GB2312" w:hAnsi="宋体" w:eastAsia="仿宋_GB2312"/>
          <w:sz w:val="32"/>
          <w:szCs w:val="32"/>
        </w:rPr>
      </w:pPr>
      <w:r>
        <w:rPr>
          <w:rFonts w:hint="eastAsia" w:ascii="仿宋_GB2312" w:hAnsi="ˎ̥" w:eastAsia="仿宋_GB2312"/>
          <w:b/>
          <w:sz w:val="32"/>
          <w:szCs w:val="32"/>
        </w:rPr>
        <w:t>5.5.1</w:t>
      </w:r>
      <w:r>
        <w:rPr>
          <w:rFonts w:hint="eastAsia" w:ascii="仿宋_GB2312" w:hAnsi="宋体" w:eastAsia="仿宋_GB2312"/>
          <w:sz w:val="32"/>
          <w:szCs w:val="32"/>
        </w:rPr>
        <w:t>被抽查样品应贴封条和防拆封措施，以保证其完整性、真实性，包括附在样品上的使用说明及其他信息。如样品标签上标明特殊储存或搬运要求，样品应按要求进行处置，检验样品和备用样品应分别封样。同时，保持所抽产品密封包装，所抽样品放于阴暗处。</w:t>
      </w:r>
    </w:p>
    <w:p>
      <w:pPr>
        <w:spacing w:line="360" w:lineRule="auto"/>
        <w:rPr>
          <w:rFonts w:ascii="仿宋_GB2312" w:hAnsi="Calibri" w:eastAsia="仿宋_GB2312"/>
          <w:sz w:val="32"/>
          <w:szCs w:val="32"/>
        </w:rPr>
      </w:pPr>
      <w:r>
        <w:rPr>
          <w:rFonts w:hint="eastAsia" w:ascii="仿宋_GB2312" w:hAnsi="宋体" w:eastAsia="仿宋_GB2312"/>
          <w:b/>
          <w:sz w:val="32"/>
          <w:szCs w:val="32"/>
        </w:rPr>
        <w:t>5.5.2</w:t>
      </w:r>
      <w:r>
        <w:rPr>
          <w:rFonts w:hint="eastAsia" w:ascii="仿宋_GB2312" w:hAnsi="Calibri" w:eastAsia="仿宋_GB2312"/>
          <w:sz w:val="32"/>
          <w:szCs w:val="32"/>
        </w:rPr>
        <w:t>样品由抽样人负责送至指定的检验机构相关部门，如有必要，也可由抽样人员要求受检单位在规定时间内送到指定的检验机构相关部门。</w:t>
      </w:r>
    </w:p>
    <w:p>
      <w:pPr>
        <w:spacing w:line="360" w:lineRule="auto"/>
        <w:rPr>
          <w:rFonts w:ascii="仿宋_GB2312" w:hAnsi="Calibri" w:eastAsia="仿宋_GB2312"/>
          <w:sz w:val="32"/>
          <w:szCs w:val="32"/>
        </w:rPr>
      </w:pPr>
      <w:r>
        <w:rPr>
          <w:rFonts w:hint="eastAsia" w:ascii="仿宋_GB2312" w:hAnsi="宋体" w:eastAsia="仿宋_GB2312"/>
          <w:b/>
          <w:sz w:val="32"/>
          <w:szCs w:val="32"/>
        </w:rPr>
        <w:t>5.5.3</w:t>
      </w:r>
      <w:r>
        <w:rPr>
          <w:rFonts w:hint="eastAsia" w:ascii="仿宋_GB2312" w:hAnsi="宋体" w:eastAsia="仿宋_GB2312"/>
          <w:sz w:val="32"/>
          <w:szCs w:val="32"/>
        </w:rPr>
        <w:t>抽取的样品按运输条件包装好，由抽样小组带回检验机构，运输时严防雨淋、日晒、受潮。装卸时轻搬轻放，严禁掷抛。备用样品封存在检</w:t>
      </w:r>
      <w:r>
        <w:rPr>
          <w:rFonts w:hint="eastAsia" w:ascii="仿宋_GB2312" w:hAnsi="宋体" w:eastAsia="仿宋_GB2312" w:cs="仿宋_GB2312"/>
          <w:sz w:val="32"/>
          <w:szCs w:val="32"/>
        </w:rPr>
        <w:t>验机构，贮存时注意防晒、防雨淋、防潮。</w:t>
      </w:r>
    </w:p>
    <w:p>
      <w:pPr>
        <w:autoSpaceDE w:val="0"/>
        <w:autoSpaceDN w:val="0"/>
        <w:adjustRightInd w:val="0"/>
        <w:spacing w:line="360" w:lineRule="auto"/>
        <w:rPr>
          <w:rFonts w:ascii="仿宋_GB2312" w:hAnsi="宋体" w:eastAsia="仿宋_GB2312"/>
          <w:b/>
          <w:sz w:val="32"/>
          <w:szCs w:val="32"/>
        </w:rPr>
      </w:pPr>
      <w:r>
        <w:rPr>
          <w:rFonts w:hint="eastAsia" w:ascii="仿宋_GB2312" w:hAnsi="宋体" w:eastAsia="仿宋_GB2312"/>
          <w:b/>
          <w:sz w:val="32"/>
          <w:szCs w:val="32"/>
        </w:rPr>
        <w:t>5.6 抽样单</w:t>
      </w:r>
    </w:p>
    <w:p>
      <w:pPr>
        <w:snapToGrid w:val="0"/>
        <w:spacing w:line="360" w:lineRule="auto"/>
        <w:ind w:firstLine="614" w:firstLineChars="192"/>
        <w:rPr>
          <w:rFonts w:ascii="仿宋_GB2312" w:hAnsi="Calibri" w:eastAsia="仿宋_GB2312" w:cs="Sim Sun"/>
          <w:kern w:val="0"/>
          <w:sz w:val="32"/>
          <w:szCs w:val="32"/>
        </w:rPr>
      </w:pPr>
      <w:r>
        <w:rPr>
          <w:rFonts w:hint="eastAsia" w:ascii="仿宋_GB2312" w:hAnsi="宋体" w:eastAsia="仿宋_GB2312"/>
          <w:sz w:val="32"/>
          <w:szCs w:val="32"/>
        </w:rPr>
        <w:t>应按有关规定填写抽样单，并记录被抽查产品及企业相关信息。</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6 检验要求</w:t>
      </w:r>
    </w:p>
    <w:p>
      <w:pPr>
        <w:snapToGrid w:val="0"/>
        <w:spacing w:line="360" w:lineRule="auto"/>
        <w:rPr>
          <w:rFonts w:ascii="仿宋_GB2312" w:hAnsi="宋体" w:eastAsia="仿宋_GB2312"/>
          <w:b/>
          <w:sz w:val="32"/>
          <w:szCs w:val="32"/>
        </w:rPr>
      </w:pPr>
      <w:r>
        <w:rPr>
          <w:rFonts w:hint="eastAsia" w:ascii="仿宋_GB2312" w:hAnsi="宋体" w:eastAsia="仿宋_GB2312"/>
          <w:b/>
          <w:sz w:val="32"/>
          <w:szCs w:val="32"/>
        </w:rPr>
        <w:t>6.1 检验项目</w:t>
      </w: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82"/>
        <w:gridCol w:w="1534"/>
        <w:gridCol w:w="1689"/>
        <w:gridCol w:w="1267"/>
        <w:gridCol w:w="141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序号</w:t>
            </w: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检验项目</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检验依据</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项目性质</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检测方法</w:t>
            </w:r>
          </w:p>
        </w:tc>
        <w:tc>
          <w:tcPr>
            <w:tcW w:w="1177" w:type="dxa"/>
            <w:tcBorders>
              <w:top w:val="single" w:color="auto" w:sz="4" w:space="0"/>
              <w:left w:val="single" w:color="auto" w:sz="4" w:space="0"/>
              <w:right w:val="single" w:color="auto" w:sz="4" w:space="0"/>
            </w:tcBorders>
            <w:noWrap w:val="0"/>
            <w:vAlign w:val="center"/>
          </w:tcPr>
          <w:p>
            <w:pPr>
              <w:widowControl/>
              <w:snapToGrid w:val="0"/>
              <w:jc w:val="center"/>
              <w:rPr>
                <w:rFonts w:ascii="黑体" w:hAnsi="黑体" w:eastAsia="黑体"/>
                <w:bCs/>
                <w:sz w:val="24"/>
              </w:rPr>
            </w:pPr>
            <w:r>
              <w:rPr>
                <w:rFonts w:hint="eastAsia" w:ascii="黑体" w:hAnsi="黑体" w:eastAsia="黑体"/>
                <w:bCs/>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氯乙烯单体</w:t>
            </w:r>
          </w:p>
        </w:tc>
        <w:tc>
          <w:tcPr>
            <w:tcW w:w="1689" w:type="dxa"/>
            <w:vMerge w:val="restart"/>
            <w:tcBorders>
              <w:top w:val="single" w:color="auto" w:sz="4" w:space="0"/>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GB 18585-2001 4</w:t>
            </w:r>
          </w:p>
          <w:p>
            <w:pPr>
              <w:pStyle w:val="2"/>
              <w:snapToGrid w:val="0"/>
              <w:spacing w:before="156" w:beforeLines="50" w:after="156" w:afterLines="50"/>
              <w:jc w:val="center"/>
              <w:rPr>
                <w:rFonts w:ascii="仿宋_GB2312" w:hAnsi="宋体" w:eastAsia="仿宋_GB2312"/>
                <w:sz w:val="24"/>
                <w:szCs w:val="24"/>
              </w:rPr>
            </w:pPr>
          </w:p>
        </w:tc>
        <w:tc>
          <w:tcPr>
            <w:tcW w:w="1267" w:type="dxa"/>
            <w:vMerge w:val="restart"/>
            <w:tcBorders>
              <w:top w:val="single" w:color="auto" w:sz="4" w:space="0"/>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强制性</w:t>
            </w:r>
          </w:p>
          <w:p>
            <w:pPr>
              <w:pStyle w:val="2"/>
              <w:snapToGrid w:val="0"/>
              <w:spacing w:before="156" w:beforeLines="50" w:after="156" w:afterLines="50"/>
              <w:jc w:val="center"/>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GB/T 4615-1984</w:t>
            </w:r>
          </w:p>
        </w:tc>
        <w:tc>
          <w:tcPr>
            <w:tcW w:w="1177" w:type="dxa"/>
            <w:vMerge w:val="restart"/>
            <w:tcBorders>
              <w:top w:val="single" w:color="auto" w:sz="4" w:space="0"/>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2816" w:type="dxa"/>
            <w:gridSpan w:val="2"/>
            <w:tcBorders>
              <w:top w:val="single" w:color="auto" w:sz="4" w:space="0"/>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甲醛</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GB 18585-2001 6.3</w:t>
            </w:r>
          </w:p>
        </w:tc>
        <w:tc>
          <w:tcPr>
            <w:tcW w:w="1177" w:type="dxa"/>
            <w:vMerge w:val="continue"/>
            <w:tcBorders>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p>
            <w:pPr>
              <w:pStyle w:val="2"/>
              <w:snapToGrid w:val="0"/>
              <w:spacing w:line="500" w:lineRule="exact"/>
              <w:jc w:val="center"/>
              <w:rPr>
                <w:rFonts w:ascii="仿宋_GB2312" w:hAnsi="宋体" w:eastAsia="仿宋_GB2312"/>
                <w:sz w:val="24"/>
                <w:szCs w:val="24"/>
              </w:rPr>
            </w:pP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cs="Courier New"/>
                <w:sz w:val="24"/>
                <w:szCs w:val="24"/>
              </w:rPr>
              <w:t>重金属（或其他）元素</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钡</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宋体" w:eastAsia="仿宋_GB2312"/>
                <w:sz w:val="24"/>
                <w:szCs w:val="24"/>
              </w:rPr>
              <w:t>GB 18585-2001 6.1</w:t>
            </w:r>
          </w:p>
        </w:tc>
        <w:tc>
          <w:tcPr>
            <w:tcW w:w="1177" w:type="dxa"/>
            <w:vMerge w:val="restart"/>
            <w:tcBorders>
              <w:top w:val="single" w:color="auto" w:sz="4" w:space="0"/>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r>
              <w:rPr>
                <w:rFonts w:hint="eastAsia" w:ascii="仿宋_GB2312" w:hAnsi="仿宋" w:eastAsia="仿宋_GB2312"/>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镉</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right w:val="single" w:color="auto" w:sz="4" w:space="0"/>
            </w:tcBorders>
            <w:noWrap w:val="0"/>
            <w:vAlign w:val="top"/>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铬</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right w:val="single" w:color="auto" w:sz="4" w:space="0"/>
            </w:tcBorders>
            <w:noWrap w:val="0"/>
            <w:vAlign w:val="top"/>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铅</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right w:val="single" w:color="auto" w:sz="4" w:space="0"/>
            </w:tcBorders>
            <w:noWrap w:val="0"/>
            <w:vAlign w:val="top"/>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砷</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right w:val="single" w:color="auto" w:sz="4" w:space="0"/>
            </w:tcBorders>
            <w:noWrap w:val="0"/>
            <w:vAlign w:val="top"/>
          </w:tcPr>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汞</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right w:val="single" w:color="auto" w:sz="4" w:space="0"/>
            </w:tcBorders>
            <w:noWrap w:val="0"/>
            <w:vAlign w:val="top"/>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锑</w:t>
            </w:r>
          </w:p>
        </w:tc>
        <w:tc>
          <w:tcPr>
            <w:tcW w:w="1689"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right w:val="single" w:color="auto" w:sz="4" w:space="0"/>
            </w:tcBorders>
            <w:noWrap w:val="0"/>
            <w:vAlign w:val="top"/>
          </w:tcPr>
          <w:p>
            <w:pPr>
              <w:widowControl/>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硒</w:t>
            </w:r>
          </w:p>
        </w:tc>
        <w:tc>
          <w:tcPr>
            <w:tcW w:w="1689" w:type="dxa"/>
            <w:vMerge w:val="continue"/>
            <w:tcBorders>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267" w:type="dxa"/>
            <w:vMerge w:val="continue"/>
            <w:tcBorders>
              <w:left w:val="single" w:color="auto" w:sz="4" w:space="0"/>
              <w:bottom w:val="single" w:color="auto" w:sz="4" w:space="0"/>
              <w:right w:val="single" w:color="auto" w:sz="4" w:space="0"/>
            </w:tcBorders>
            <w:noWrap w:val="0"/>
            <w:vAlign w:val="center"/>
          </w:tcPr>
          <w:p>
            <w:pPr>
              <w:pStyle w:val="2"/>
              <w:snapToGrid w:val="0"/>
              <w:spacing w:before="156" w:beforeLines="50" w:after="156" w:afterLines="50"/>
              <w:jc w:val="center"/>
              <w:rPr>
                <w:rFonts w:ascii="仿宋_GB2312" w:hAnsi="宋体" w:eastAsia="仿宋_GB2312"/>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 w:val="24"/>
              </w:rPr>
            </w:pPr>
          </w:p>
        </w:tc>
        <w:tc>
          <w:tcPr>
            <w:tcW w:w="1177" w:type="dxa"/>
            <w:vMerge w:val="continue"/>
            <w:tcBorders>
              <w:left w:val="single" w:color="auto" w:sz="4" w:space="0"/>
              <w:bottom w:val="single" w:color="auto" w:sz="4" w:space="0"/>
              <w:right w:val="single" w:color="auto" w:sz="4" w:space="0"/>
            </w:tcBorders>
            <w:noWrap w:val="0"/>
            <w:vAlign w:val="top"/>
          </w:tcPr>
          <w:p>
            <w:pPr>
              <w:widowControl/>
              <w:jc w:val="left"/>
              <w:rPr>
                <w:rFonts w:ascii="仿宋_GB2312" w:hAnsi="宋体" w:eastAsia="仿宋_GB2312"/>
                <w:sz w:val="24"/>
              </w:rPr>
            </w:pPr>
          </w:p>
        </w:tc>
      </w:tr>
    </w:tbl>
    <w:p>
      <w:pPr>
        <w:snapToGrid w:val="0"/>
        <w:spacing w:line="360" w:lineRule="auto"/>
        <w:rPr>
          <w:rFonts w:ascii="仿宋_GB2312" w:hAnsi="宋体" w:eastAsia="仿宋_GB2312"/>
          <w:b/>
          <w:sz w:val="32"/>
          <w:szCs w:val="32"/>
        </w:rPr>
      </w:pPr>
      <w:r>
        <w:rPr>
          <w:rFonts w:hint="eastAsia" w:ascii="仿宋_GB2312" w:hAnsi="Calibri" w:eastAsia="仿宋_GB2312" w:cs="Sim Sun"/>
          <w:b/>
          <w:kern w:val="0"/>
          <w:sz w:val="32"/>
          <w:szCs w:val="32"/>
        </w:rPr>
        <w:t>6.</w:t>
      </w:r>
      <w:r>
        <w:rPr>
          <w:rFonts w:ascii="仿宋_GB2312" w:hAnsi="Calibri" w:eastAsia="仿宋_GB2312" w:cs="Sim Sun"/>
          <w:b/>
          <w:kern w:val="0"/>
          <w:sz w:val="32"/>
          <w:szCs w:val="32"/>
        </w:rPr>
        <w:t>2</w:t>
      </w:r>
      <w:r>
        <w:rPr>
          <w:rFonts w:hint="eastAsia" w:ascii="仿宋_GB2312" w:hAnsi="Calibri" w:eastAsia="仿宋_GB2312" w:cs="Sim Sun"/>
          <w:b/>
          <w:kern w:val="0"/>
          <w:sz w:val="32"/>
          <w:szCs w:val="32"/>
        </w:rPr>
        <w:t xml:space="preserve"> 检验应注意的问题</w:t>
      </w:r>
    </w:p>
    <w:p>
      <w:pPr>
        <w:snapToGrid w:val="0"/>
        <w:spacing w:line="360" w:lineRule="auto"/>
        <w:rPr>
          <w:rFonts w:ascii="仿宋_GB2312" w:hAnsi="宋体" w:eastAsia="仿宋_GB2312"/>
          <w:iCs/>
          <w:sz w:val="32"/>
          <w:szCs w:val="32"/>
        </w:rPr>
      </w:pPr>
      <w:r>
        <w:rPr>
          <w:rFonts w:hint="eastAsia" w:ascii="仿宋_GB2312" w:hAnsi="Calibri" w:eastAsia="仿宋_GB2312" w:cs="Sim Sun"/>
          <w:b/>
          <w:kern w:val="0"/>
          <w:sz w:val="32"/>
          <w:szCs w:val="32"/>
        </w:rPr>
        <w:t>6.</w:t>
      </w:r>
      <w:r>
        <w:rPr>
          <w:rFonts w:ascii="仿宋_GB2312" w:hAnsi="Calibri" w:eastAsia="仿宋_GB2312" w:cs="Sim Sun"/>
          <w:b/>
          <w:kern w:val="0"/>
          <w:sz w:val="32"/>
          <w:szCs w:val="32"/>
        </w:rPr>
        <w:t>2</w:t>
      </w:r>
      <w:r>
        <w:rPr>
          <w:rFonts w:hint="eastAsia" w:ascii="仿宋_GB2312" w:hAnsi="Calibri" w:eastAsia="仿宋_GB2312" w:cs="Sim Sun"/>
          <w:b/>
          <w:kern w:val="0"/>
          <w:sz w:val="32"/>
          <w:szCs w:val="32"/>
        </w:rPr>
        <w:t>.1</w:t>
      </w:r>
      <w:r>
        <w:rPr>
          <w:rFonts w:hint="eastAsia" w:ascii="仿宋_GB2312" w:hAnsi="Calibri" w:eastAsia="仿宋_GB2312" w:cs="Sim Sun"/>
          <w:kern w:val="0"/>
          <w:sz w:val="32"/>
          <w:szCs w:val="32"/>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32"/>
          <w:szCs w:val="32"/>
        </w:rPr>
        <w:t>备用</w:t>
      </w:r>
      <w:r>
        <w:rPr>
          <w:rFonts w:hint="eastAsia" w:ascii="仿宋_GB2312" w:hAnsi="宋体" w:eastAsia="仿宋_GB2312"/>
          <w:iCs/>
          <w:sz w:val="32"/>
          <w:szCs w:val="32"/>
        </w:rPr>
        <w:t>样品应该贮存在阴凉、干燥、安全、避光处，在整个保存期间应保证签封完整无损。</w:t>
      </w:r>
    </w:p>
    <w:p>
      <w:pPr>
        <w:snapToGrid w:val="0"/>
        <w:spacing w:line="360" w:lineRule="auto"/>
        <w:rPr>
          <w:rFonts w:ascii="仿宋_GB2312" w:eastAsia="仿宋_GB2312" w:cs="Sim Sun"/>
          <w:kern w:val="0"/>
          <w:sz w:val="32"/>
          <w:szCs w:val="32"/>
        </w:rPr>
      </w:pPr>
      <w:r>
        <w:rPr>
          <w:rFonts w:hint="eastAsia" w:ascii="仿宋_GB2312" w:eastAsia="仿宋_GB2312" w:cs="Sim Sun"/>
          <w:b/>
          <w:kern w:val="0"/>
          <w:sz w:val="32"/>
          <w:szCs w:val="32"/>
        </w:rPr>
        <w:t>6.2.2</w:t>
      </w:r>
      <w:r>
        <w:rPr>
          <w:rFonts w:hint="eastAsia" w:ascii="仿宋_GB2312" w:eastAsia="仿宋_GB2312" w:cs="Sim Sun"/>
          <w:kern w:val="0"/>
          <w:sz w:val="32"/>
          <w:szCs w:val="32"/>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32"/>
          <w:szCs w:val="32"/>
        </w:rPr>
      </w:pPr>
      <w:r>
        <w:rPr>
          <w:rFonts w:hint="eastAsia" w:ascii="仿宋_GB2312" w:eastAsia="仿宋_GB2312" w:cs="Sim Sun"/>
          <w:b/>
          <w:kern w:val="0"/>
          <w:sz w:val="32"/>
          <w:szCs w:val="32"/>
        </w:rPr>
        <w:t>6.2.3</w:t>
      </w:r>
      <w:r>
        <w:rPr>
          <w:rFonts w:hint="eastAsia" w:ascii="仿宋_GB2312" w:eastAsia="仿宋_GB2312" w:cs="Sim Sun"/>
          <w:kern w:val="0"/>
          <w:sz w:val="32"/>
          <w:szCs w:val="32"/>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32"/>
          <w:szCs w:val="32"/>
        </w:rPr>
      </w:pPr>
      <w:r>
        <w:rPr>
          <w:rFonts w:hint="eastAsia" w:ascii="仿宋_GB2312" w:hAnsi="Calibri" w:eastAsia="仿宋_GB2312" w:cs="Sim Sun"/>
          <w:b/>
          <w:kern w:val="0"/>
          <w:sz w:val="32"/>
          <w:szCs w:val="32"/>
        </w:rPr>
        <w:t>7 判定原则</w:t>
      </w:r>
    </w:p>
    <w:p>
      <w:pPr>
        <w:snapToGrid w:val="0"/>
        <w:spacing w:line="360" w:lineRule="auto"/>
        <w:ind w:firstLine="640" w:firstLineChars="200"/>
        <w:rPr>
          <w:rFonts w:ascii="仿宋_GB2312" w:eastAsia="仿宋_GB2312" w:cs="Sim Sun"/>
          <w:kern w:val="0"/>
          <w:sz w:val="32"/>
          <w:szCs w:val="32"/>
        </w:rPr>
      </w:pPr>
      <w:r>
        <w:rPr>
          <w:rFonts w:hint="eastAsia" w:ascii="仿宋_GB2312" w:eastAsia="仿宋_GB2312" w:cs="Sim Sun"/>
          <w:kern w:val="0"/>
          <w:sz w:val="32"/>
          <w:szCs w:val="32"/>
        </w:rPr>
        <w:t>经检验，所检样品全部项目合格，判该产品本次监督抽查结果合格；出现一项或一项以上</w:t>
      </w:r>
      <w:r>
        <w:rPr>
          <w:rFonts w:hint="eastAsia" w:ascii="仿宋_GB2312" w:hAnsi="宋体" w:eastAsia="仿宋_GB2312"/>
          <w:sz w:val="32"/>
          <w:szCs w:val="32"/>
        </w:rPr>
        <w:t>项目</w:t>
      </w:r>
      <w:r>
        <w:rPr>
          <w:rFonts w:hint="eastAsia" w:ascii="仿宋_GB2312" w:eastAsia="仿宋_GB2312" w:cs="Sim Sun"/>
          <w:kern w:val="0"/>
          <w:sz w:val="32"/>
          <w:szCs w:val="32"/>
        </w:rPr>
        <w:t>不合格，判该产品本次监督检验结果不合格。</w:t>
      </w:r>
    </w:p>
    <w:p>
      <w:pPr>
        <w:snapToGrid w:val="0"/>
        <w:spacing w:line="360" w:lineRule="auto"/>
        <w:rPr>
          <w:rFonts w:ascii="仿宋_GB2312" w:hAnsi="Calibri" w:eastAsia="仿宋_GB2312" w:cs="Sim Sun"/>
          <w:b/>
          <w:kern w:val="0"/>
          <w:sz w:val="32"/>
          <w:szCs w:val="32"/>
        </w:rPr>
      </w:pPr>
      <w:r>
        <w:rPr>
          <w:rFonts w:hint="eastAsia" w:ascii="仿宋_GB2312" w:hAnsi="Calibri" w:eastAsia="仿宋_GB2312" w:cs="Sim Sun"/>
          <w:b/>
          <w:kern w:val="0"/>
          <w:sz w:val="32"/>
          <w:szCs w:val="32"/>
        </w:rPr>
        <w:t>8 异议处理复检</w:t>
      </w:r>
    </w:p>
    <w:p>
      <w:pPr>
        <w:snapToGrid w:val="0"/>
        <w:spacing w:line="360" w:lineRule="auto"/>
        <w:rPr>
          <w:rFonts w:ascii="仿宋_GB2312" w:eastAsia="仿宋_GB2312" w:cs="Sim Sun"/>
          <w:iCs/>
          <w:kern w:val="0"/>
          <w:sz w:val="32"/>
          <w:szCs w:val="32"/>
        </w:rPr>
      </w:pPr>
      <w:r>
        <w:rPr>
          <w:rFonts w:ascii="仿宋_GB2312" w:eastAsia="仿宋_GB2312" w:cs="Sim Sun"/>
          <w:b/>
          <w:iCs/>
          <w:kern w:val="0"/>
          <w:sz w:val="32"/>
          <w:szCs w:val="32"/>
        </w:rPr>
        <w:t>8</w:t>
      </w:r>
      <w:r>
        <w:rPr>
          <w:rFonts w:hint="eastAsia" w:ascii="仿宋_GB2312" w:eastAsia="仿宋_GB2312" w:cs="Sim Sun"/>
          <w:b/>
          <w:iCs/>
          <w:kern w:val="0"/>
          <w:sz w:val="32"/>
          <w:szCs w:val="32"/>
        </w:rPr>
        <w:t>.1</w:t>
      </w:r>
      <w:r>
        <w:rPr>
          <w:rFonts w:hint="eastAsia" w:ascii="仿宋_GB2312" w:eastAsia="仿宋_GB2312" w:cs="Sim Sun"/>
          <w:iCs/>
          <w:kern w:val="0"/>
          <w:sz w:val="32"/>
          <w:szCs w:val="32"/>
        </w:rPr>
        <w:t>被抽查企业在收到检验结果，对结果有异议时，</w:t>
      </w:r>
      <w:r>
        <w:rPr>
          <w:rFonts w:ascii="仿宋_GB2312" w:eastAsia="仿宋_GB2312" w:cs="Sim Sun"/>
          <w:iCs/>
          <w:kern w:val="0"/>
          <w:sz w:val="32"/>
          <w:szCs w:val="32"/>
        </w:rPr>
        <w:t>可以自收到检验结果之日起15日内向</w:t>
      </w:r>
      <w:r>
        <w:rPr>
          <w:rFonts w:hint="eastAsia" w:ascii="仿宋_GB2312" w:eastAsia="仿宋_GB2312" w:cs="Sim Sun"/>
          <w:iCs/>
          <w:kern w:val="0"/>
          <w:sz w:val="32"/>
          <w:szCs w:val="32"/>
        </w:rPr>
        <w:t>深圳市市场监督管理局</w:t>
      </w:r>
      <w:r>
        <w:rPr>
          <w:rFonts w:ascii="仿宋_GB2312" w:eastAsia="仿宋_GB2312" w:cs="Sim Sun"/>
          <w:iCs/>
          <w:kern w:val="0"/>
          <w:sz w:val="32"/>
          <w:szCs w:val="32"/>
        </w:rPr>
        <w:t>提出书面复检申请。逾期未提出异议的，视为承认检验结果。</w:t>
      </w:r>
    </w:p>
    <w:p>
      <w:pPr>
        <w:snapToGrid w:val="0"/>
        <w:spacing w:line="360" w:lineRule="auto"/>
        <w:rPr>
          <w:rFonts w:ascii="仿宋_GB2312" w:eastAsia="仿宋_GB2312" w:cs="Sim Sun"/>
          <w:iCs/>
          <w:kern w:val="0"/>
          <w:sz w:val="32"/>
          <w:szCs w:val="32"/>
        </w:rPr>
      </w:pPr>
      <w:r>
        <w:rPr>
          <w:rFonts w:ascii="仿宋_GB2312" w:eastAsia="仿宋_GB2312" w:cs="Sim Sun"/>
          <w:b/>
          <w:iCs/>
          <w:kern w:val="0"/>
          <w:sz w:val="32"/>
          <w:szCs w:val="32"/>
        </w:rPr>
        <w:t>8</w:t>
      </w:r>
      <w:r>
        <w:rPr>
          <w:rFonts w:hint="eastAsia" w:ascii="仿宋_GB2312" w:eastAsia="仿宋_GB2312" w:cs="Sim Sun"/>
          <w:b/>
          <w:iCs/>
          <w:kern w:val="0"/>
          <w:sz w:val="32"/>
          <w:szCs w:val="32"/>
        </w:rPr>
        <w:t>.2</w:t>
      </w:r>
      <w:r>
        <w:rPr>
          <w:rFonts w:ascii="仿宋_GB2312" w:eastAsia="仿宋_GB2312" w:cs="Sim Sun"/>
          <w:iCs/>
          <w:kern w:val="0"/>
          <w:sz w:val="32"/>
          <w:szCs w:val="32"/>
        </w:rPr>
        <w:t>检验机构</w:t>
      </w:r>
      <w:r>
        <w:rPr>
          <w:rFonts w:hint="eastAsia" w:ascii="仿宋_GB2312" w:eastAsia="仿宋_GB2312" w:cs="Sim Sun"/>
          <w:iCs/>
          <w:kern w:val="0"/>
          <w:sz w:val="32"/>
          <w:szCs w:val="32"/>
        </w:rPr>
        <w:t>接到深圳市市场监督管理局的复检通知后</w:t>
      </w:r>
      <w:r>
        <w:rPr>
          <w:rFonts w:ascii="仿宋_GB2312" w:eastAsia="仿宋_GB2312" w:cs="Sim Sun"/>
          <w:iCs/>
          <w:kern w:val="0"/>
          <w:sz w:val="32"/>
          <w:szCs w:val="32"/>
        </w:rPr>
        <w:t>应当按原监督抽查方案</w:t>
      </w:r>
      <w:r>
        <w:rPr>
          <w:rFonts w:hint="eastAsia" w:ascii="仿宋_GB2312" w:eastAsia="仿宋_GB2312" w:cs="Sim Sun"/>
          <w:iCs/>
          <w:kern w:val="0"/>
          <w:sz w:val="32"/>
          <w:szCs w:val="32"/>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32"/>
          <w:szCs w:val="32"/>
        </w:rPr>
        <w:t>的结论。</w:t>
      </w:r>
    </w:p>
    <w:p>
      <w:pPr>
        <w:snapToGrid w:val="0"/>
        <w:spacing w:line="360" w:lineRule="auto"/>
        <w:rPr>
          <w:rFonts w:ascii="仿宋_GB2312" w:eastAsia="仿宋_GB2312" w:cs="Sim Sun"/>
          <w:kern w:val="0"/>
          <w:sz w:val="32"/>
          <w:szCs w:val="28"/>
        </w:rPr>
      </w:pPr>
      <w:r>
        <w:rPr>
          <w:rFonts w:hint="eastAsia" w:ascii="仿宋_GB2312" w:eastAsia="仿宋_GB2312" w:cs="Sim Sun"/>
          <w:b/>
          <w:kern w:val="0"/>
          <w:sz w:val="32"/>
          <w:szCs w:val="28"/>
        </w:rPr>
        <w:t>8.</w:t>
      </w:r>
      <w:r>
        <w:rPr>
          <w:rFonts w:ascii="仿宋_GB2312" w:eastAsia="仿宋_GB2312" w:cs="Sim Sun"/>
          <w:b/>
          <w:kern w:val="0"/>
          <w:sz w:val="32"/>
          <w:szCs w:val="28"/>
        </w:rPr>
        <w:t>3</w:t>
      </w:r>
      <w:r>
        <w:rPr>
          <w:rFonts w:ascii="仿宋_GB2312" w:eastAsia="仿宋_GB2312" w:cs="Sim Sun"/>
          <w:iCs/>
          <w:kern w:val="0"/>
          <w:sz w:val="32"/>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iCs/>
          <w:kern w:val="0"/>
          <w:sz w:val="32"/>
          <w:szCs w:val="28"/>
        </w:rPr>
      </w:pPr>
      <w:r>
        <w:rPr>
          <w:rFonts w:hint="eastAsia" w:ascii="仿宋_GB2312" w:eastAsia="仿宋_GB2312" w:cs="Sim Sun"/>
          <w:b/>
          <w:bCs/>
          <w:iCs/>
          <w:kern w:val="0"/>
          <w:sz w:val="32"/>
          <w:szCs w:val="28"/>
        </w:rPr>
        <w:t>8.4</w:t>
      </w:r>
      <w:r>
        <w:rPr>
          <w:rFonts w:hint="eastAsia" w:ascii="仿宋_GB2312" w:eastAsia="仿宋_GB2312" w:cs="Sim Sun"/>
          <w:iCs/>
          <w:kern w:val="0"/>
          <w:sz w:val="32"/>
          <w:szCs w:val="28"/>
        </w:rPr>
        <w:t>若复检机构与初检机构为同一家机构，则复检检验人员与初检检验人员不得为同一人（含审核人员）。</w:t>
      </w:r>
    </w:p>
    <w:p>
      <w:pPr>
        <w:snapToGrid w:val="0"/>
        <w:spacing w:line="360" w:lineRule="auto"/>
        <w:rPr>
          <w:rFonts w:ascii="仿宋_GB2312" w:eastAsia="仿宋_GB2312" w:cs="Sim Sun"/>
          <w:b/>
          <w:iCs/>
          <w:kern w:val="0"/>
          <w:sz w:val="32"/>
          <w:szCs w:val="28"/>
        </w:rPr>
      </w:pPr>
      <w:r>
        <w:rPr>
          <w:rFonts w:hint="eastAsia" w:ascii="仿宋_GB2312" w:eastAsia="仿宋_GB2312" w:cs="Sim Sun"/>
          <w:b/>
          <w:iCs/>
          <w:kern w:val="0"/>
          <w:sz w:val="32"/>
          <w:szCs w:val="28"/>
        </w:rPr>
        <w:t>8.</w:t>
      </w:r>
      <w:r>
        <w:rPr>
          <w:rFonts w:ascii="仿宋_GB2312" w:eastAsia="仿宋_GB2312" w:cs="Sim Sun"/>
          <w:b/>
          <w:iCs/>
          <w:kern w:val="0"/>
          <w:sz w:val="32"/>
          <w:szCs w:val="28"/>
        </w:rPr>
        <w:t xml:space="preserve">5 </w:t>
      </w:r>
      <w:r>
        <w:rPr>
          <w:rFonts w:hint="eastAsia" w:ascii="仿宋_GB2312" w:eastAsia="仿宋_GB2312" w:cs="Sim Sun"/>
          <w:iCs/>
          <w:kern w:val="0"/>
          <w:sz w:val="32"/>
          <w:szCs w:val="28"/>
        </w:rPr>
        <w:t>需对不合格项目复检时，按6.1选择复检样品。</w:t>
      </w:r>
    </w:p>
    <w:p>
      <w:pPr>
        <w:snapToGrid w:val="0"/>
        <w:spacing w:line="360" w:lineRule="auto"/>
        <w:rPr>
          <w:rFonts w:ascii="仿宋_GB2312" w:eastAsia="仿宋_GB2312" w:cs="Sim Sun"/>
          <w:iCs/>
          <w:kern w:val="0"/>
          <w:sz w:val="32"/>
          <w:szCs w:val="28"/>
        </w:rPr>
      </w:pPr>
      <w:r>
        <w:rPr>
          <w:rFonts w:hint="eastAsia" w:ascii="仿宋_GB2312" w:eastAsia="仿宋_GB2312" w:cs="Sim Sun"/>
          <w:b/>
          <w:iCs/>
          <w:kern w:val="0"/>
          <w:sz w:val="32"/>
          <w:szCs w:val="28"/>
        </w:rPr>
        <w:t>8.</w:t>
      </w:r>
      <w:r>
        <w:rPr>
          <w:rFonts w:ascii="仿宋_GB2312" w:eastAsia="仿宋_GB2312" w:cs="Sim Sun"/>
          <w:b/>
          <w:iCs/>
          <w:kern w:val="0"/>
          <w:sz w:val="32"/>
          <w:szCs w:val="28"/>
        </w:rPr>
        <w:t>6</w:t>
      </w:r>
      <w:r>
        <w:rPr>
          <w:rFonts w:hint="eastAsia" w:ascii="仿宋_GB2312" w:eastAsia="仿宋_GB2312" w:cs="Sim Sun"/>
          <w:iCs/>
          <w:kern w:val="0"/>
          <w:sz w:val="32"/>
          <w:szCs w:val="28"/>
        </w:rPr>
        <w:t>深圳市市场监督管理局根据初检</w:t>
      </w:r>
      <w:r>
        <w:rPr>
          <w:rFonts w:ascii="仿宋_GB2312" w:eastAsia="仿宋_GB2312" w:cs="Sim Sun"/>
          <w:iCs/>
          <w:kern w:val="0"/>
          <w:sz w:val="32"/>
          <w:szCs w:val="28"/>
        </w:rPr>
        <w:t>、复</w:t>
      </w:r>
      <w:r>
        <w:rPr>
          <w:rFonts w:hint="eastAsia" w:ascii="仿宋_GB2312" w:eastAsia="仿宋_GB2312" w:cs="Sim Sun"/>
          <w:iCs/>
          <w:kern w:val="0"/>
          <w:sz w:val="32"/>
          <w:szCs w:val="28"/>
        </w:rPr>
        <w:t>验</w:t>
      </w:r>
      <w:r>
        <w:rPr>
          <w:rFonts w:ascii="仿宋_GB2312" w:eastAsia="仿宋_GB2312" w:cs="Sim Sun"/>
          <w:iCs/>
          <w:kern w:val="0"/>
          <w:sz w:val="32"/>
          <w:szCs w:val="28"/>
        </w:rPr>
        <w:t>结果及企业提交的</w:t>
      </w:r>
      <w:r>
        <w:rPr>
          <w:rFonts w:hint="eastAsia" w:ascii="仿宋_GB2312" w:eastAsia="仿宋_GB2312" w:cs="Sim Sun"/>
          <w:iCs/>
          <w:kern w:val="0"/>
          <w:sz w:val="32"/>
          <w:szCs w:val="28"/>
        </w:rPr>
        <w:t>证明</w:t>
      </w:r>
      <w:r>
        <w:rPr>
          <w:rFonts w:ascii="仿宋_GB2312" w:eastAsia="仿宋_GB2312" w:cs="Sim Sun"/>
          <w:iCs/>
          <w:kern w:val="0"/>
          <w:sz w:val="32"/>
          <w:szCs w:val="28"/>
        </w:rPr>
        <w:t>材料，做出复检结论</w:t>
      </w:r>
      <w:r>
        <w:rPr>
          <w:rFonts w:hint="eastAsia" w:ascii="仿宋_GB2312" w:eastAsia="仿宋_GB2312" w:cs="Sim Sun"/>
          <w:iCs/>
          <w:kern w:val="0"/>
          <w:sz w:val="32"/>
          <w:szCs w:val="28"/>
        </w:rPr>
        <w:t>，</w:t>
      </w:r>
      <w:r>
        <w:rPr>
          <w:rFonts w:ascii="仿宋_GB2312" w:eastAsia="仿宋_GB2312" w:cs="Sim Sun"/>
          <w:iCs/>
          <w:kern w:val="0"/>
          <w:sz w:val="32"/>
          <w:szCs w:val="28"/>
        </w:rPr>
        <w:t>复检结论为最终结论。</w:t>
      </w:r>
    </w:p>
    <w:p>
      <w:pPr>
        <w:snapToGrid w:val="0"/>
        <w:spacing w:line="360" w:lineRule="auto"/>
        <w:rPr>
          <w:rFonts w:ascii="仿宋_GB2312" w:hAnsi="宋体" w:eastAsia="仿宋_GB2312"/>
          <w:b/>
          <w:sz w:val="32"/>
          <w:szCs w:val="32"/>
        </w:rPr>
      </w:pPr>
      <w:r>
        <w:rPr>
          <w:rFonts w:ascii="仿宋_GB2312" w:hAnsi="宋体" w:eastAsia="仿宋_GB2312"/>
          <w:b/>
          <w:sz w:val="32"/>
          <w:szCs w:val="32"/>
        </w:rPr>
        <w:t>9</w:t>
      </w:r>
      <w:r>
        <w:rPr>
          <w:rFonts w:hint="eastAsia" w:ascii="仿宋_GB2312" w:hAnsi="宋体" w:eastAsia="仿宋_GB2312"/>
          <w:b/>
          <w:sz w:val="32"/>
          <w:szCs w:val="32"/>
        </w:rPr>
        <w:t xml:space="preserve"> 附则</w:t>
      </w:r>
    </w:p>
    <w:p>
      <w:pPr>
        <w:snapToGrid w:val="0"/>
        <w:spacing w:line="360" w:lineRule="auto"/>
        <w:ind w:firstLine="614" w:firstLineChars="192"/>
        <w:rPr>
          <w:rFonts w:ascii="仿宋_GB2312" w:hAnsi="宋体" w:eastAsia="仿宋_GB2312"/>
          <w:sz w:val="32"/>
          <w:szCs w:val="32"/>
        </w:rPr>
      </w:pPr>
      <w:r>
        <w:rPr>
          <w:rFonts w:hint="eastAsia" w:ascii="仿宋_GB2312" w:hAnsi="宋体" w:eastAsia="仿宋_GB2312"/>
          <w:sz w:val="32"/>
          <w:szCs w:val="32"/>
        </w:rPr>
        <w:t>本规范编制单位：</w:t>
      </w:r>
      <w:r>
        <w:rPr>
          <w:rFonts w:hint="eastAsia" w:ascii="仿宋_GB2312" w:eastAsia="仿宋_GB2312"/>
          <w:sz w:val="32"/>
          <w:szCs w:val="32"/>
        </w:rPr>
        <w:t>深圳市计量质量检测研究院</w:t>
      </w:r>
      <w:r>
        <w:rPr>
          <w:rFonts w:hint="eastAsia" w:ascii="仿宋_GB2312" w:hAnsi="宋体" w:eastAsia="仿宋_GB2312"/>
          <w:sz w:val="32"/>
          <w:szCs w:val="32"/>
        </w:rPr>
        <w:t>。</w:t>
      </w:r>
    </w:p>
    <w:p>
      <w:pPr>
        <w:ind w:firstLine="640" w:firstLineChars="200"/>
      </w:pPr>
      <w:bookmarkStart w:id="0" w:name="_GoBack"/>
      <w:bookmarkEnd w:id="0"/>
      <w:r>
        <w:rPr>
          <w:rFonts w:hint="eastAsia" w:ascii="仿宋_GB2312" w:hAnsi="宋体" w:eastAsia="仿宋_GB2312"/>
          <w:sz w:val="32"/>
          <w:szCs w:val="32"/>
        </w:rPr>
        <w:t>本规范由</w:t>
      </w:r>
      <w:r>
        <w:rPr>
          <w:rFonts w:hint="eastAsia" w:ascii="仿宋_GB2312" w:hAnsi="宋体" w:eastAsia="仿宋_GB2312"/>
          <w:iCs/>
          <w:sz w:val="32"/>
          <w:szCs w:val="32"/>
        </w:rPr>
        <w:t>深圳市市场监督管理局质量处</w:t>
      </w:r>
      <w:r>
        <w:rPr>
          <w:rFonts w:hint="eastAsia" w:ascii="仿宋_GB2312" w:hAnsi="宋体" w:eastAsia="仿宋_GB2312"/>
          <w:sz w:val="32"/>
          <w:szCs w:val="32"/>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1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2020-05-28T08:45:53Z</dcterms:created>
  <dc:creator>changmy</dc:creator>
  <cp:lastModifiedBy>常孟园</cp:lastModifiedBy>
  <dcterms:modified xsi:type="dcterms:W3CDTF">2020-05-28T08:46:10Z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