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ascii="黑体" w:hAnsi="黑体" w:eastAsia="黑体"/>
          <w:b w:val="0"/>
          <w:bCs w:val="0"/>
        </w:rPr>
      </w:pPr>
      <w:r>
        <w:rPr>
          <w:rFonts w:hint="eastAsia" w:ascii="黑体" w:hAnsi="黑体" w:eastAsia="黑体"/>
          <w:b w:val="0"/>
          <w:bCs w:val="0"/>
        </w:rPr>
        <w:t>附件1</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深圳市市场监督管理局</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电动自行车产品质量监督抽查实施规范</w:t>
      </w:r>
    </w:p>
    <w:p>
      <w:pPr>
        <w:spacing w:line="600" w:lineRule="exact"/>
        <w:jc w:val="center"/>
        <w:rPr>
          <w:rFonts w:ascii="黑体" w:hAnsi="黑体" w:eastAsia="黑体"/>
          <w:sz w:val="28"/>
        </w:rPr>
      </w:pPr>
      <w:r>
        <w:rPr>
          <w:rFonts w:hint="eastAsia" w:ascii="黑体" w:hAnsi="黑体" w:eastAsia="黑体"/>
          <w:sz w:val="28"/>
        </w:rPr>
        <w:t>编号：CCGF-SZ-</w:t>
      </w:r>
      <w:r>
        <w:rPr>
          <w:rFonts w:ascii="黑体" w:hAnsi="黑体" w:eastAsia="黑体"/>
          <w:sz w:val="28"/>
        </w:rPr>
        <w:t>038</w:t>
      </w:r>
      <w:r>
        <w:rPr>
          <w:rFonts w:hint="eastAsia" w:ascii="黑体" w:hAnsi="黑体" w:eastAsia="黑体"/>
          <w:sz w:val="28"/>
        </w:rPr>
        <w:t>-2020</w:t>
      </w:r>
    </w:p>
    <w:p>
      <w:pPr>
        <w:pStyle w:val="3"/>
        <w:spacing w:before="0" w:after="0"/>
      </w:pPr>
      <w:r>
        <w:rPr>
          <w:rFonts w:hint="eastAsia"/>
        </w:rPr>
        <w:t>1 适用范围</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本实施规范适用于深圳市生产及流通领域电动自行车产品质量监督抽查。监督抽查产品范围适用于：</w:t>
      </w:r>
      <w:r>
        <w:rPr>
          <w:rFonts w:hint="eastAsia" w:ascii="仿宋_GB2312" w:hAnsi="仿宋" w:eastAsia="仿宋_GB2312" w:cs="方正仿宋简体"/>
          <w:sz w:val="28"/>
          <w:szCs w:val="28"/>
        </w:rPr>
        <w:t>电动</w:t>
      </w:r>
      <w:r>
        <w:rPr>
          <w:rFonts w:ascii="仿宋_GB2312" w:hAnsi="仿宋" w:eastAsia="仿宋_GB2312" w:cs="方正仿宋简体"/>
          <w:sz w:val="28"/>
          <w:szCs w:val="28"/>
        </w:rPr>
        <w:t>自行车</w:t>
      </w:r>
      <w:r>
        <w:rPr>
          <w:rFonts w:hint="eastAsia" w:ascii="仿宋_GB2312" w:hAnsi="宋体" w:eastAsia="仿宋_GB2312"/>
          <w:sz w:val="28"/>
          <w:szCs w:val="28"/>
        </w:rPr>
        <w:t>。</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本实施规范内容包括适用范围、产品种类、术语和定义、检验依据、抽样、检验要求，判定原则及异议处理复检。</w:t>
      </w:r>
    </w:p>
    <w:p>
      <w:pPr>
        <w:pStyle w:val="3"/>
        <w:spacing w:before="0" w:after="0"/>
      </w:pPr>
      <w:r>
        <w:rPr>
          <w:rFonts w:hint="eastAsia"/>
        </w:rPr>
        <w:t>2 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5"/>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电动自行车</w:t>
            </w:r>
          </w:p>
        </w:tc>
        <w:tc>
          <w:tcPr>
            <w:tcW w:w="6305" w:type="dxa"/>
            <w:noWrap w:val="0"/>
            <w:vAlign w:val="center"/>
          </w:tcPr>
          <w:p>
            <w:pPr>
              <w:autoSpaceDE w:val="0"/>
              <w:autoSpaceDN w:val="0"/>
              <w:adjustRightInd w:val="0"/>
              <w:spacing w:line="300" w:lineRule="exact"/>
              <w:rPr>
                <w:rFonts w:ascii="仿宋_GB2312" w:eastAsia="仿宋_GB2312" w:cs="宋体"/>
                <w:kern w:val="0"/>
                <w:sz w:val="24"/>
                <w:szCs w:val="21"/>
              </w:rPr>
            </w:pPr>
            <w:r>
              <w:rPr>
                <w:rFonts w:hint="eastAsia" w:ascii="仿宋_GB2312" w:eastAsia="仿宋_GB2312" w:cs="宋体"/>
                <w:kern w:val="0"/>
                <w:sz w:val="24"/>
                <w:szCs w:val="21"/>
              </w:rPr>
              <w:t>按驱动方式：电驱动电动自行车、电助动电动自行车、电驱动/电助动电动自行车。</w:t>
            </w:r>
          </w:p>
        </w:tc>
      </w:tr>
    </w:tbl>
    <w:p>
      <w:pPr>
        <w:pStyle w:val="3"/>
        <w:spacing w:before="0" w:after="0"/>
      </w:pPr>
      <w:r>
        <w:rPr>
          <w:rFonts w:hint="eastAsia"/>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5"/>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pacing w:line="300" w:lineRule="exact"/>
              <w:jc w:val="center"/>
              <w:rPr>
                <w:rFonts w:ascii="仿宋_GB2312" w:eastAsia="仿宋_GB2312" w:cs="宋体"/>
                <w:kern w:val="0"/>
                <w:sz w:val="24"/>
                <w:szCs w:val="21"/>
              </w:rPr>
            </w:pPr>
            <w:r>
              <w:rPr>
                <w:rFonts w:hint="eastAsia" w:ascii="仿宋_GB2312" w:eastAsia="仿宋_GB2312" w:cs="宋体"/>
                <w:kern w:val="0"/>
                <w:sz w:val="24"/>
                <w:szCs w:val="21"/>
              </w:rPr>
              <w:t>电动</w:t>
            </w:r>
            <w:r>
              <w:rPr>
                <w:rFonts w:ascii="仿宋_GB2312" w:eastAsia="仿宋_GB2312" w:cs="宋体"/>
                <w:kern w:val="0"/>
                <w:sz w:val="24"/>
                <w:szCs w:val="21"/>
              </w:rPr>
              <w:t>自行车</w:t>
            </w:r>
          </w:p>
        </w:tc>
        <w:tc>
          <w:tcPr>
            <w:tcW w:w="6447" w:type="dxa"/>
            <w:noWrap w:val="0"/>
            <w:vAlign w:val="center"/>
          </w:tcPr>
          <w:p>
            <w:pPr>
              <w:autoSpaceDE w:val="0"/>
              <w:autoSpaceDN w:val="0"/>
              <w:adjustRightInd w:val="0"/>
              <w:spacing w:line="300" w:lineRule="exact"/>
              <w:jc w:val="left"/>
              <w:rPr>
                <w:rFonts w:ascii="仿宋_GB2312" w:eastAsia="仿宋_GB2312" w:cs="宋体"/>
                <w:kern w:val="0"/>
                <w:sz w:val="24"/>
                <w:szCs w:val="21"/>
              </w:rPr>
            </w:pPr>
            <w:r>
              <w:rPr>
                <w:rFonts w:hint="eastAsia" w:ascii="仿宋_GB2312" w:eastAsia="仿宋_GB2312" w:cs="宋体"/>
                <w:kern w:val="0"/>
                <w:sz w:val="24"/>
                <w:szCs w:val="21"/>
              </w:rPr>
              <w:t>以车载蓄电池作为辅助能源，具有脚踏骑行能力，能实现电助动或/和电驱动功能的两轮自行车。</w:t>
            </w:r>
          </w:p>
        </w:tc>
      </w:tr>
    </w:tbl>
    <w:p>
      <w:pPr>
        <w:pStyle w:val="3"/>
        <w:spacing w:before="0" w:after="0"/>
      </w:pPr>
      <w:r>
        <w:rPr>
          <w:rFonts w:hint="eastAsia"/>
        </w:rPr>
        <w:t>4 检验依据</w:t>
      </w:r>
    </w:p>
    <w:p>
      <w:pPr>
        <w:snapToGrid w:val="0"/>
        <w:spacing w:line="360" w:lineRule="auto"/>
        <w:ind w:firstLine="548" w:firstLineChars="196"/>
        <w:rPr>
          <w:rFonts w:hint="eastAsia" w:ascii="仿宋_GB2312" w:hAnsi="宋体" w:eastAsia="仿宋_GB2312"/>
          <w:sz w:val="28"/>
          <w:szCs w:val="28"/>
        </w:rPr>
      </w:pPr>
      <w:r>
        <w:rPr>
          <w:rFonts w:hint="eastAsia" w:ascii="仿宋_GB2312" w:hAnsi="宋体" w:eastAsia="仿宋_GB2312"/>
          <w:sz w:val="28"/>
          <w:szCs w:val="28"/>
        </w:rPr>
        <w:t>凡是注日期的文件，其随后所有的修改单（不包括勘误的内容）或修订版不适用于本规范。凡是不注日期的文件，其最新版本适用于本规范。</w:t>
      </w:r>
    </w:p>
    <w:p>
      <w:pPr>
        <w:snapToGrid w:val="0"/>
        <w:spacing w:line="360" w:lineRule="auto"/>
        <w:ind w:firstLine="548" w:firstLineChars="196"/>
        <w:rPr>
          <w:rFonts w:ascii="仿宋_GB2312" w:hAnsi="宋体" w:eastAsia="仿宋_GB2312"/>
          <w:sz w:val="28"/>
          <w:szCs w:val="28"/>
        </w:rPr>
      </w:pPr>
    </w:p>
    <w:tbl>
      <w:tblPr>
        <w:tblStyle w:val="5"/>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07"/>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407"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jc w:val="center"/>
              <w:rPr>
                <w:rFonts w:ascii="仿宋_GB2312" w:hAnsi="宋体" w:eastAsia="仿宋_GB2312"/>
                <w:sz w:val="24"/>
                <w:szCs w:val="21"/>
              </w:rPr>
            </w:pPr>
            <w:r>
              <w:rPr>
                <w:rFonts w:ascii="仿宋_GB2312" w:hAnsi="宋体" w:eastAsia="仿宋_GB2312"/>
                <w:sz w:val="24"/>
                <w:szCs w:val="21"/>
              </w:rPr>
              <w:t>GB17761-2018</w:t>
            </w:r>
          </w:p>
        </w:tc>
        <w:tc>
          <w:tcPr>
            <w:tcW w:w="4407"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《电动自行车安全技术规范》</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bl>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pStyle w:val="3"/>
        <w:spacing w:before="0" w:after="0"/>
      </w:pPr>
      <w:r>
        <w:rPr>
          <w:rFonts w:hint="eastAsia"/>
        </w:rPr>
        <w:t>5 抽样</w:t>
      </w:r>
    </w:p>
    <w:p>
      <w:pPr>
        <w:rPr>
          <w:rFonts w:ascii="仿宋_GB2312" w:eastAsia="仿宋_GB2312"/>
          <w:b/>
          <w:bCs/>
          <w:sz w:val="28"/>
          <w:szCs w:val="28"/>
        </w:rPr>
      </w:pPr>
      <w:r>
        <w:rPr>
          <w:rFonts w:hint="eastAsia" w:ascii="仿宋_GB2312" w:eastAsia="仿宋_GB2312"/>
          <w:b/>
          <w:bCs/>
          <w:sz w:val="28"/>
          <w:szCs w:val="28"/>
        </w:rPr>
        <w:t>5.1 抽样型号或规格</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rPr>
          <w:rFonts w:ascii="仿宋_GB2312" w:eastAsia="仿宋_GB2312"/>
          <w:b/>
          <w:bCs/>
          <w:sz w:val="28"/>
          <w:szCs w:val="28"/>
        </w:rPr>
      </w:pPr>
      <w:r>
        <w:rPr>
          <w:rFonts w:hint="eastAsia" w:ascii="仿宋_GB2312" w:hAnsi="仿宋" w:eastAsia="仿宋_GB2312"/>
          <w:b/>
          <w:bCs/>
          <w:sz w:val="28"/>
          <w:szCs w:val="28"/>
        </w:rPr>
        <w:t xml:space="preserve">5.2 </w:t>
      </w:r>
      <w:r>
        <w:rPr>
          <w:rFonts w:hint="eastAsia" w:ascii="仿宋_GB2312" w:eastAsia="仿宋_GB2312"/>
          <w:b/>
          <w:bCs/>
          <w:sz w:val="28"/>
          <w:szCs w:val="28"/>
        </w:rPr>
        <w:t xml:space="preserve">取样方式 </w:t>
      </w:r>
    </w:p>
    <w:p>
      <w:pPr>
        <w:snapToGrid w:val="0"/>
        <w:spacing w:line="360" w:lineRule="auto"/>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360" w:lineRule="auto"/>
        <w:ind w:firstLine="562" w:firstLineChars="200"/>
        <w:rPr>
          <w:rFonts w:ascii="仿宋_GB2312" w:hAnsi="宋体" w:eastAsia="仿宋_GB2312"/>
          <w:sz w:val="28"/>
          <w:szCs w:val="28"/>
        </w:rPr>
      </w:pPr>
      <w:r>
        <w:rPr>
          <w:rFonts w:hint="eastAsia" w:ascii="仿宋_GB2312" w:hAnsi="宋体" w:eastAsia="仿宋_GB2312"/>
          <w:b/>
          <w:bCs/>
          <w:sz w:val="28"/>
          <w:szCs w:val="28"/>
        </w:rPr>
        <w:t xml:space="preserve"> 流通领域：</w:t>
      </w:r>
      <w:r>
        <w:rPr>
          <w:rFonts w:hint="eastAsia" w:ascii="仿宋_GB2312" w:hAnsi="宋体" w:eastAsia="仿宋_GB2312"/>
          <w:sz w:val="28"/>
          <w:szCs w:val="28"/>
        </w:rPr>
        <w:t>本次抽样采取在流通领域实体店以及网络交易平台两种方式获得样品。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网络交易平台：若网络交易平台是在深圳市登记注册的，可对该平台的自营商品进行抽检。若网络交易平台不在深圳市登记注册的，仅可对其平台上在深圳市依法登记的经营者销售的商品进行抽检。在网络交易平台抽样，检验样品以及备用样品原则上均以向商家购样为主。</w:t>
      </w:r>
    </w:p>
    <w:p>
      <w:pPr>
        <w:rPr>
          <w:rFonts w:ascii="仿宋_GB2312" w:eastAsia="仿宋_GB2312"/>
          <w:b/>
          <w:bCs/>
          <w:sz w:val="28"/>
          <w:szCs w:val="28"/>
        </w:rPr>
      </w:pPr>
      <w:r>
        <w:rPr>
          <w:rFonts w:hint="eastAsia" w:ascii="仿宋_GB2312" w:eastAsia="仿宋_GB2312"/>
          <w:b/>
          <w:bCs/>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rPr>
          <w:rFonts w:ascii="仿宋_GB2312" w:eastAsia="仿宋_GB2312"/>
          <w:b/>
          <w:bCs/>
          <w:sz w:val="28"/>
          <w:szCs w:val="28"/>
        </w:rPr>
      </w:pPr>
      <w:r>
        <w:rPr>
          <w:rFonts w:hint="eastAsia" w:ascii="仿宋_GB2312" w:eastAsia="仿宋_GB2312"/>
          <w:b/>
          <w:bCs/>
          <w:sz w:val="28"/>
          <w:szCs w:val="28"/>
        </w:rPr>
        <w:t>5.4 抽样数量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抽样数量见表</w:t>
      </w:r>
      <w:r>
        <w:rPr>
          <w:rFonts w:ascii="仿宋_GB2312" w:hAnsi="宋体" w:eastAsia="仿宋_GB2312"/>
          <w:sz w:val="28"/>
          <w:szCs w:val="28"/>
        </w:rPr>
        <w:t>3</w:t>
      </w:r>
      <w:r>
        <w:rPr>
          <w:rFonts w:hint="eastAsia" w:ascii="仿宋_GB2312" w:hAnsi="宋体" w:eastAsia="仿宋_GB2312"/>
          <w:sz w:val="28"/>
          <w:szCs w:val="28"/>
        </w:rPr>
        <w:t>。</w:t>
      </w:r>
    </w:p>
    <w:p>
      <w:pPr>
        <w:snapToGrid w:val="0"/>
        <w:jc w:val="center"/>
        <w:rPr>
          <w:rFonts w:ascii="黑体" w:hAnsi="宋体" w:eastAsia="黑体"/>
          <w:sz w:val="28"/>
          <w:szCs w:val="28"/>
        </w:rPr>
      </w:pPr>
      <w:r>
        <w:rPr>
          <w:rFonts w:hint="eastAsia" w:ascii="黑体" w:hAnsi="宋体" w:eastAsia="黑体"/>
          <w:sz w:val="28"/>
          <w:szCs w:val="28"/>
        </w:rPr>
        <w:t>表</w:t>
      </w:r>
      <w:r>
        <w:rPr>
          <w:rFonts w:ascii="黑体" w:hAnsi="宋体" w:eastAsia="黑体"/>
          <w:sz w:val="28"/>
          <w:szCs w:val="28"/>
        </w:rPr>
        <w:t>3</w:t>
      </w:r>
      <w:r>
        <w:rPr>
          <w:rFonts w:hint="eastAsia" w:ascii="黑体" w:hAnsi="宋体" w:eastAsia="黑体"/>
          <w:sz w:val="28"/>
          <w:szCs w:val="28"/>
        </w:rPr>
        <w:t xml:space="preserve">  抽样数量</w:t>
      </w:r>
    </w:p>
    <w:tbl>
      <w:tblPr>
        <w:tblStyle w:val="5"/>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402"/>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noWrap w:val="0"/>
            <w:vAlign w:val="center"/>
          </w:tcPr>
          <w:p>
            <w:pPr>
              <w:pStyle w:val="7"/>
              <w:spacing w:before="78" w:after="109"/>
              <w:ind w:firstLine="0" w:firstLineChars="0"/>
              <w:jc w:val="center"/>
              <w:rPr>
                <w:rFonts w:ascii="黑体" w:hAnsi="黑体" w:eastAsia="黑体"/>
                <w:sz w:val="24"/>
              </w:rPr>
            </w:pPr>
            <w:r>
              <w:rPr>
                <w:rFonts w:hint="eastAsia" w:ascii="黑体" w:hAnsi="黑体" w:eastAsia="黑体"/>
                <w:sz w:val="24"/>
              </w:rPr>
              <w:t>产品名称</w:t>
            </w:r>
          </w:p>
        </w:tc>
        <w:tc>
          <w:tcPr>
            <w:tcW w:w="3402" w:type="dxa"/>
            <w:noWrap w:val="0"/>
            <w:vAlign w:val="center"/>
          </w:tcPr>
          <w:p>
            <w:pPr>
              <w:pStyle w:val="7"/>
              <w:spacing w:before="78" w:after="109"/>
              <w:ind w:firstLine="0" w:firstLineChars="0"/>
              <w:jc w:val="center"/>
              <w:rPr>
                <w:rFonts w:ascii="黑体" w:hAnsi="黑体" w:eastAsia="黑体"/>
                <w:sz w:val="24"/>
              </w:rPr>
            </w:pPr>
            <w:r>
              <w:rPr>
                <w:rFonts w:hint="eastAsia" w:ascii="黑体" w:hAnsi="黑体" w:eastAsia="黑体"/>
                <w:sz w:val="24"/>
              </w:rPr>
              <w:t>检验样品数量</w:t>
            </w:r>
          </w:p>
        </w:tc>
        <w:tc>
          <w:tcPr>
            <w:tcW w:w="3198" w:type="dxa"/>
            <w:noWrap w:val="0"/>
            <w:vAlign w:val="center"/>
          </w:tcPr>
          <w:p>
            <w:pPr>
              <w:pStyle w:val="7"/>
              <w:spacing w:before="78" w:after="109"/>
              <w:ind w:firstLine="0" w:firstLineChars="0"/>
              <w:jc w:val="center"/>
              <w:rPr>
                <w:rFonts w:ascii="黑体" w:hAnsi="黑体" w:eastAsia="黑体"/>
                <w:sz w:val="24"/>
              </w:rPr>
            </w:pPr>
            <w:r>
              <w:rPr>
                <w:rFonts w:hint="eastAsia" w:ascii="黑体" w:hAnsi="黑体" w:eastAsia="黑体"/>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noWrap w:val="0"/>
            <w:vAlign w:val="center"/>
          </w:tcPr>
          <w:p>
            <w:pPr>
              <w:pStyle w:val="4"/>
              <w:snapToGrid w:val="0"/>
              <w:spacing w:before="78" w:beforeLines="25" w:after="78" w:afterLines="25"/>
              <w:ind w:firstLine="480"/>
              <w:jc w:val="center"/>
              <w:rPr>
                <w:rFonts w:ascii="仿宋_GB2312" w:hAnsi="宋体" w:eastAsia="仿宋_GB2312"/>
                <w:sz w:val="24"/>
                <w:szCs w:val="24"/>
              </w:rPr>
            </w:pPr>
            <w:r>
              <w:rPr>
                <w:rFonts w:hint="eastAsia" w:ascii="仿宋_GB2312" w:hAnsi="宋体" w:eastAsia="仿宋_GB2312"/>
                <w:sz w:val="24"/>
                <w:szCs w:val="24"/>
              </w:rPr>
              <w:t>电动自行车</w:t>
            </w:r>
          </w:p>
        </w:tc>
        <w:tc>
          <w:tcPr>
            <w:tcW w:w="3402" w:type="dxa"/>
            <w:noWrap w:val="0"/>
            <w:vAlign w:val="center"/>
          </w:tcPr>
          <w:p>
            <w:pPr>
              <w:pStyle w:val="4"/>
              <w:snapToGrid w:val="0"/>
              <w:spacing w:before="78" w:beforeLines="25" w:after="78" w:afterLines="25"/>
              <w:ind w:firstLine="480"/>
              <w:jc w:val="center"/>
              <w:rPr>
                <w:rFonts w:ascii="仿宋_GB2312" w:hAnsi="宋体" w:eastAsia="仿宋_GB2312"/>
                <w:sz w:val="24"/>
                <w:szCs w:val="24"/>
              </w:rPr>
            </w:pPr>
            <w:r>
              <w:rPr>
                <w:rFonts w:hint="eastAsia" w:ascii="仿宋_GB2312" w:hAnsi="宋体" w:eastAsia="仿宋_GB2312"/>
                <w:sz w:val="24"/>
                <w:szCs w:val="24"/>
              </w:rPr>
              <w:t>1辆</w:t>
            </w:r>
          </w:p>
        </w:tc>
        <w:tc>
          <w:tcPr>
            <w:tcW w:w="3198" w:type="dxa"/>
            <w:noWrap w:val="0"/>
            <w:vAlign w:val="center"/>
          </w:tcPr>
          <w:p>
            <w:pPr>
              <w:pStyle w:val="4"/>
              <w:snapToGrid w:val="0"/>
              <w:spacing w:before="78" w:beforeLines="25" w:after="78" w:afterLines="25"/>
              <w:ind w:firstLine="480"/>
              <w:jc w:val="center"/>
              <w:rPr>
                <w:rFonts w:ascii="仿宋_GB2312" w:hAnsi="宋体" w:eastAsia="仿宋_GB2312"/>
                <w:sz w:val="24"/>
                <w:szCs w:val="24"/>
              </w:rPr>
            </w:pPr>
            <w:r>
              <w:rPr>
                <w:rFonts w:hint="eastAsia" w:ascii="仿宋_GB2312" w:hAnsi="宋体" w:eastAsia="仿宋_GB2312"/>
                <w:sz w:val="24"/>
                <w:szCs w:val="24"/>
              </w:rPr>
              <w:t>1辆</w:t>
            </w:r>
          </w:p>
        </w:tc>
      </w:tr>
    </w:tbl>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生产领域及流通领域抽样，检验样品带回承检机构，备用样品封存于承检机构。</w:t>
      </w:r>
    </w:p>
    <w:p>
      <w:pPr>
        <w:rPr>
          <w:rFonts w:ascii="仿宋_GB2312" w:eastAsia="仿宋_GB2312"/>
          <w:b/>
          <w:bCs/>
          <w:sz w:val="30"/>
          <w:szCs w:val="30"/>
        </w:rPr>
      </w:pPr>
      <w:r>
        <w:rPr>
          <w:rFonts w:hint="eastAsia" w:ascii="仿宋_GB2312" w:eastAsia="仿宋_GB2312"/>
          <w:b/>
          <w:bCs/>
          <w:sz w:val="30"/>
          <w:szCs w:val="30"/>
        </w:rPr>
        <w:t>5.5 取样要求</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.5.1</w:t>
      </w:r>
      <w:r>
        <w:rPr>
          <w:rFonts w:hint="eastAsia" w:ascii="仿宋_GB2312" w:eastAsia="仿宋_GB2312"/>
          <w:sz w:val="28"/>
          <w:szCs w:val="28"/>
        </w:rPr>
        <w:t xml:space="preserve"> 样品应当由抽样人员在被抽样生产者、销售者的代销产品中随机抽取，不得由被抽样生产者、销售者自行抽样。</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.5.2</w:t>
      </w:r>
      <w:r>
        <w:rPr>
          <w:rFonts w:hint="eastAsia" w:ascii="仿宋_GB2312"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.5.3</w:t>
      </w:r>
      <w:r>
        <w:rPr>
          <w:rFonts w:hint="eastAsia" w:ascii="仿宋_GB2312" w:eastAsia="仿宋_GB2312"/>
          <w:sz w:val="28"/>
          <w:szCs w:val="28"/>
        </w:rPr>
        <w:t xml:space="preserve"> 抽样时应一并抽取产品的配件、赠品等。</w:t>
      </w:r>
    </w:p>
    <w:p>
      <w:pPr>
        <w:rPr>
          <w:rFonts w:ascii="仿宋_GB2312" w:eastAsia="仿宋_GB2312"/>
          <w:b/>
          <w:bCs/>
          <w:sz w:val="28"/>
          <w:szCs w:val="28"/>
        </w:rPr>
      </w:pPr>
      <w:r>
        <w:rPr>
          <w:rFonts w:hint="eastAsia" w:ascii="仿宋_GB2312" w:eastAsia="仿宋_GB2312"/>
          <w:b/>
          <w:bCs/>
          <w:sz w:val="28"/>
          <w:szCs w:val="28"/>
        </w:rPr>
        <w:t>5.6 样品处置</w:t>
      </w:r>
    </w:p>
    <w:p>
      <w:pPr>
        <w:snapToGrid w:val="0"/>
        <w:spacing w:line="600" w:lineRule="exact"/>
        <w:rPr>
          <w:rFonts w:ascii="仿宋_GB2312" w:hAnsi="宋体" w:eastAsia="仿宋_GB2312"/>
          <w:sz w:val="28"/>
          <w:szCs w:val="28"/>
        </w:rPr>
      </w:pPr>
      <w:r>
        <w:rPr>
          <w:rFonts w:hint="eastAsia" w:ascii="仿宋_GB2312" w:hAnsi="ˎ̥" w:eastAsia="仿宋_GB2312"/>
          <w:b/>
          <w:sz w:val="28"/>
          <w:szCs w:val="28"/>
        </w:rPr>
        <w:t>5.</w:t>
      </w:r>
      <w:r>
        <w:rPr>
          <w:rFonts w:ascii="仿宋_GB2312" w:hAnsi="ˎ̥" w:eastAsia="仿宋_GB2312"/>
          <w:b/>
          <w:sz w:val="28"/>
          <w:szCs w:val="28"/>
        </w:rPr>
        <w:t>6</w:t>
      </w:r>
      <w:r>
        <w:rPr>
          <w:rFonts w:hint="eastAsia" w:ascii="仿宋_GB2312" w:hAnsi="ˎ̥" w:eastAsia="仿宋_GB2312"/>
          <w:b/>
          <w:sz w:val="28"/>
          <w:szCs w:val="28"/>
        </w:rPr>
        <w:t>.1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600" w:lineRule="exact"/>
        <w:rPr>
          <w:rFonts w:ascii="仿宋_GB2312" w:eastAsia="仿宋_GB2312"/>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rPr>
          <w:rFonts w:ascii="仿宋_GB2312" w:eastAsia="仿宋_GB2312"/>
          <w:b/>
          <w:bCs/>
          <w:sz w:val="28"/>
          <w:szCs w:val="28"/>
        </w:rPr>
      </w:pPr>
      <w:r>
        <w:rPr>
          <w:rFonts w:hint="eastAsia" w:ascii="仿宋_GB2312" w:eastAsia="仿宋_GB2312"/>
          <w:b/>
          <w:bCs/>
          <w:sz w:val="28"/>
          <w:szCs w:val="28"/>
        </w:rPr>
        <w:t>5.7 抽样单</w:t>
      </w:r>
    </w:p>
    <w:p>
      <w:pPr>
        <w:snapToGrid w:val="0"/>
        <w:spacing w:line="60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spacing w:before="0" w:after="0"/>
      </w:pPr>
      <w:r>
        <w:rPr>
          <w:rFonts w:hint="eastAsia"/>
        </w:rPr>
        <w:t>6 检验要求</w:t>
      </w:r>
    </w:p>
    <w:p>
      <w:pPr>
        <w:rPr>
          <w:rFonts w:ascii="仿宋_GB2312" w:eastAsia="仿宋_GB2312"/>
          <w:b/>
          <w:bCs/>
          <w:sz w:val="28"/>
          <w:szCs w:val="28"/>
        </w:rPr>
      </w:pPr>
      <w:r>
        <w:rPr>
          <w:rFonts w:hint="eastAsia" w:ascii="仿宋_GB2312" w:eastAsia="仿宋_GB2312"/>
          <w:b/>
          <w:bCs/>
          <w:sz w:val="28"/>
          <w:szCs w:val="28"/>
        </w:rPr>
        <w:t>6.1 检验项目</w:t>
      </w:r>
    </w:p>
    <w:p>
      <w:pPr>
        <w:jc w:val="center"/>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 xml:space="preserve">4 </w:t>
      </w:r>
      <w:r>
        <w:rPr>
          <w:rFonts w:hint="eastAsia" w:ascii="黑体" w:hAnsi="黑体" w:eastAsia="黑体"/>
          <w:sz w:val="28"/>
          <w:szCs w:val="28"/>
        </w:rPr>
        <w:t>检验项目、依据及方法等要求</w:t>
      </w:r>
    </w:p>
    <w:tbl>
      <w:tblPr>
        <w:tblStyle w:val="5"/>
        <w:tblW w:w="9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577"/>
        <w:gridCol w:w="2036"/>
        <w:gridCol w:w="1186"/>
        <w:gridCol w:w="237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56" w:type="dxa"/>
            <w:noWrap w:val="0"/>
            <w:vAlign w:val="center"/>
          </w:tcPr>
          <w:p>
            <w:pPr>
              <w:snapToGrid w:val="0"/>
              <w:jc w:val="center"/>
              <w:rPr>
                <w:rFonts w:ascii="黑体" w:hAnsi="黑体" w:eastAsia="黑体"/>
                <w:sz w:val="24"/>
              </w:rPr>
            </w:pPr>
            <w:r>
              <w:rPr>
                <w:rFonts w:hint="eastAsia" w:ascii="黑体" w:hAnsi="黑体" w:eastAsia="黑体"/>
                <w:sz w:val="24"/>
              </w:rPr>
              <w:t>序号</w:t>
            </w:r>
          </w:p>
        </w:tc>
        <w:tc>
          <w:tcPr>
            <w:tcW w:w="2577" w:type="dxa"/>
            <w:noWrap w:val="0"/>
            <w:vAlign w:val="center"/>
          </w:tcPr>
          <w:p>
            <w:pPr>
              <w:snapToGrid w:val="0"/>
              <w:jc w:val="center"/>
              <w:rPr>
                <w:rFonts w:ascii="黑体" w:hAnsi="黑体" w:eastAsia="黑体"/>
                <w:sz w:val="24"/>
              </w:rPr>
            </w:pPr>
            <w:r>
              <w:rPr>
                <w:rFonts w:hint="eastAsia" w:ascii="黑体" w:hAnsi="黑体" w:eastAsia="黑体"/>
                <w:sz w:val="24"/>
              </w:rPr>
              <w:t>检验项目</w:t>
            </w:r>
          </w:p>
        </w:tc>
        <w:tc>
          <w:tcPr>
            <w:tcW w:w="203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18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37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805" w:type="dxa"/>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车速限值</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6.1.1</w:t>
            </w:r>
          </w:p>
        </w:tc>
        <w:tc>
          <w:tcPr>
            <w:tcW w:w="1186" w:type="dxa"/>
            <w:noWrap w:val="0"/>
            <w:vAlign w:val="center"/>
          </w:tcPr>
          <w:p>
            <w:pPr>
              <w:widowControl/>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7.2.1</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制动性能(干态)</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6.1.2</w:t>
            </w:r>
          </w:p>
        </w:tc>
        <w:tc>
          <w:tcPr>
            <w:tcW w:w="118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7.2.2（GB 3565-2005）</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整车质量</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6.1.3</w:t>
            </w:r>
          </w:p>
        </w:tc>
        <w:tc>
          <w:tcPr>
            <w:tcW w:w="118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7.2.3</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结构</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6.1.6</w:t>
            </w:r>
          </w:p>
        </w:tc>
        <w:tc>
          <w:tcPr>
            <w:tcW w:w="118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7.2.6（GB 3565-2005）</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5</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车速提示音</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6.1.7</w:t>
            </w:r>
          </w:p>
        </w:tc>
        <w:tc>
          <w:tcPr>
            <w:tcW w:w="118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7.2.7</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6</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淋水涉水性能</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6.1.8</w:t>
            </w:r>
          </w:p>
        </w:tc>
        <w:tc>
          <w:tcPr>
            <w:tcW w:w="118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7.2.8</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7</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反射器、照明和鸣号装置</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6.2.3</w:t>
            </w:r>
          </w:p>
        </w:tc>
        <w:tc>
          <w:tcPr>
            <w:tcW w:w="1186" w:type="dxa"/>
            <w:noWrap w:val="0"/>
            <w:vAlign w:val="center"/>
          </w:tcPr>
          <w:p>
            <w:pPr>
              <w:widowControl/>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jc w:val="center"/>
              <w:rPr>
                <w:rFonts w:ascii="仿宋_GB2312" w:hAnsi="宋体" w:eastAsia="仿宋_GB2312"/>
                <w:sz w:val="24"/>
              </w:rPr>
            </w:pPr>
            <w:r>
              <w:rPr>
                <w:rFonts w:hint="eastAsia" w:ascii="仿宋_GB2312" w:hAnsi="宋体" w:eastAsia="仿宋_GB2312"/>
                <w:sz w:val="24"/>
              </w:rPr>
              <w:t>7.3.3（GB/T 22791-2008、GB/T 31887-2015、</w:t>
            </w:r>
          </w:p>
          <w:p>
            <w:pPr>
              <w:widowControl/>
              <w:jc w:val="center"/>
              <w:rPr>
                <w:rFonts w:ascii="仿宋_GB2312" w:hAnsi="宋体" w:eastAsia="仿宋_GB2312"/>
                <w:color w:val="000000"/>
                <w:sz w:val="24"/>
                <w:highlight w:val="yellow"/>
              </w:rPr>
            </w:pPr>
            <w:r>
              <w:rPr>
                <w:rFonts w:ascii="仿宋_GB2312" w:hAnsi="宋体" w:eastAsia="仿宋_GB2312"/>
                <w:color w:val="000000"/>
                <w:sz w:val="24"/>
              </w:rPr>
              <w:t>GB/T31887.1-2019</w:t>
            </w:r>
            <w:r>
              <w:rPr>
                <w:rFonts w:ascii="仿宋_GB2312" w:hAnsi="宋体" w:eastAsia="仿宋_GB2312"/>
                <w:color w:val="000000"/>
                <w:sz w:val="24"/>
              </w:rPr>
              <w:br w:type="textWrapping"/>
            </w:r>
            <w:r>
              <w:rPr>
                <w:rFonts w:ascii="仿宋_GB2312" w:hAnsi="宋体" w:eastAsia="仿宋_GB2312"/>
                <w:color w:val="000000"/>
                <w:sz w:val="24"/>
              </w:rPr>
              <w:t>GB/T31887.2-2019</w:t>
            </w:r>
            <w:r>
              <w:rPr>
                <w:rFonts w:hint="eastAsia" w:ascii="仿宋_GB2312" w:hAnsi="宋体" w:eastAsia="仿宋_GB2312"/>
                <w:color w:val="000000"/>
                <w:sz w:val="24"/>
              </w:rPr>
              <w:t>）</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8</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电气装置</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6.3.1</w:t>
            </w:r>
          </w:p>
        </w:tc>
        <w:tc>
          <w:tcPr>
            <w:tcW w:w="1186" w:type="dxa"/>
            <w:noWrap w:val="0"/>
            <w:vAlign w:val="center"/>
          </w:tcPr>
          <w:p>
            <w:pPr>
              <w:widowControl/>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7.4.1</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9</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充电器与蓄电池</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6.3.4</w:t>
            </w:r>
          </w:p>
        </w:tc>
        <w:tc>
          <w:tcPr>
            <w:tcW w:w="1186" w:type="dxa"/>
            <w:noWrap w:val="0"/>
            <w:vAlign w:val="center"/>
          </w:tcPr>
          <w:p>
            <w:pPr>
              <w:widowControl/>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7.4.4</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10</w:t>
            </w:r>
          </w:p>
        </w:tc>
        <w:tc>
          <w:tcPr>
            <w:tcW w:w="257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防火性能</w:t>
            </w:r>
          </w:p>
        </w:tc>
        <w:tc>
          <w:tcPr>
            <w:tcW w:w="203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6.4</w:t>
            </w:r>
          </w:p>
        </w:tc>
        <w:tc>
          <w:tcPr>
            <w:tcW w:w="118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23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7.5（GB/T 5169.11-2017）</w:t>
            </w:r>
          </w:p>
        </w:tc>
        <w:tc>
          <w:tcPr>
            <w:tcW w:w="80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36" w:type="dxa"/>
            <w:gridSpan w:val="6"/>
            <w:noWrap w:val="0"/>
            <w:vAlign w:val="center"/>
          </w:tcPr>
          <w:p>
            <w:pPr>
              <w:snapToGrid w:val="0"/>
              <w:jc w:val="left"/>
              <w:rPr>
                <w:rFonts w:ascii="仿宋_GB2312" w:hAnsi="宋体" w:eastAsia="仿宋_GB2312"/>
                <w:sz w:val="24"/>
                <w:szCs w:val="21"/>
              </w:rPr>
            </w:pPr>
            <w:r>
              <w:rPr>
                <w:rFonts w:hint="eastAsia" w:ascii="仿宋_GB2312" w:hAnsi="宋体" w:eastAsia="仿宋_GB2312"/>
                <w:sz w:val="24"/>
              </w:rPr>
              <w:t>注1：</w:t>
            </w:r>
            <w:r>
              <w:rPr>
                <w:rFonts w:hint="eastAsia" w:ascii="仿宋_GB2312" w:hAnsi="仿宋" w:eastAsia="仿宋_GB2312"/>
                <w:bCs/>
                <w:sz w:val="24"/>
              </w:rPr>
              <w:t>复检样品为“</w:t>
            </w:r>
            <w:r>
              <w:rPr>
                <w:rFonts w:hint="eastAsia" w:ascii="仿宋_GB2312" w:hAnsi="仿宋" w:eastAsia="仿宋_GB2312"/>
                <w:sz w:val="24"/>
              </w:rPr>
              <w:t>原样/</w:t>
            </w:r>
            <w:r>
              <w:rPr>
                <w:rFonts w:hint="eastAsia" w:ascii="仿宋_GB2312" w:hAnsi="宋体" w:eastAsia="仿宋_GB2312"/>
                <w:sz w:val="24"/>
              </w:rPr>
              <w:t>备样</w:t>
            </w:r>
            <w:r>
              <w:rPr>
                <w:rFonts w:hint="eastAsia" w:ascii="仿宋_GB2312" w:hAnsi="仿宋" w:eastAsia="仿宋_GB2312"/>
                <w:bCs/>
                <w:sz w:val="24"/>
              </w:rPr>
              <w:t>”时，原样品未损坏选择原样作为复检样品，原样品出现损坏选择备样作为复检样品。</w:t>
            </w:r>
          </w:p>
        </w:tc>
      </w:tr>
    </w:tbl>
    <w:p>
      <w:pPr>
        <w:rPr>
          <w:rFonts w:ascii="仿宋_GB2312" w:hAnsi="宋体" w:eastAsia="仿宋_GB2312"/>
          <w:b/>
          <w:bCs/>
          <w:sz w:val="32"/>
          <w:szCs w:val="32"/>
        </w:rPr>
      </w:pPr>
      <w:r>
        <w:rPr>
          <w:rFonts w:hint="eastAsia" w:ascii="仿宋_GB2312" w:eastAsia="仿宋_GB2312"/>
          <w:b/>
          <w:bCs/>
          <w:sz w:val="32"/>
          <w:szCs w:val="32"/>
        </w:rPr>
        <w:t>6.2 检验应注意的问题</w:t>
      </w:r>
    </w:p>
    <w:p>
      <w:pPr>
        <w:snapToGrid w:val="0"/>
        <w:spacing w:line="600" w:lineRule="exact"/>
        <w:rPr>
          <w:rFonts w:ascii="仿宋_GB2312" w:hAnsi="宋体" w:eastAsia="仿宋_GB2312"/>
          <w:iCs/>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600" w:lineRule="exact"/>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600" w:lineRule="exact"/>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pStyle w:val="3"/>
        <w:spacing w:before="0" w:after="0"/>
      </w:pPr>
      <w:r>
        <w:rPr>
          <w:rFonts w:hint="eastAsia"/>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经检验，所检样品全部项目合格，判该产品本次监督检验结果合格；出现一项或一项以上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spacing w:before="0" w:after="0" w:line="600" w:lineRule="exact"/>
      </w:pPr>
      <w:r>
        <w:rPr>
          <w:rFonts w:hint="eastAsia"/>
        </w:rPr>
        <w:t>8 异议处理复检</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600" w:lineRule="exact"/>
        <w:rPr>
          <w:rFonts w:ascii="仿宋_GB2312" w:eastAsia="仿宋_GB2312" w:cs="Sim Sun"/>
          <w:iCs/>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.3</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600" w:lineRule="exact"/>
        <w:rPr>
          <w:rFonts w:ascii="仿宋_GB2312" w:eastAsia="仿宋_GB2312" w:cs="Sim Sun"/>
          <w:kern w:val="0"/>
          <w:sz w:val="28"/>
          <w:szCs w:val="28"/>
        </w:rPr>
      </w:pPr>
      <w:r>
        <w:rPr>
          <w:rFonts w:ascii="仿宋_GB2312" w:eastAsia="仿宋_GB2312" w:cs="Sim Sun"/>
          <w:b/>
          <w:bCs/>
          <w:iCs/>
          <w:kern w:val="0"/>
          <w:sz w:val="28"/>
          <w:szCs w:val="28"/>
        </w:rPr>
        <w:t xml:space="preserve">8.4 </w:t>
      </w:r>
      <w:r>
        <w:rPr>
          <w:rFonts w:hint="eastAsia" w:ascii="仿宋_GB2312" w:eastAsia="仿宋_GB2312" w:cs="Sim Sun"/>
          <w:iCs/>
          <w:kern w:val="0"/>
          <w:sz w:val="28"/>
          <w:szCs w:val="28"/>
        </w:rPr>
        <w:t>若复检机构与初检机构未同一家机构，则复验检验人员与初检检验人员不得为同一人（含审核人员）。</w:t>
      </w:r>
    </w:p>
    <w:p>
      <w:pPr>
        <w:snapToGrid w:val="0"/>
        <w:spacing w:line="600" w:lineRule="exact"/>
        <w:rPr>
          <w:rFonts w:ascii="仿宋_GB2312" w:eastAsia="仿宋_GB2312" w:cs="Sim Sun"/>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w:t>
      </w:r>
      <w:r>
        <w:rPr>
          <w:rFonts w:ascii="仿宋_GB2312" w:eastAsia="仿宋_GB2312" w:cs="Sim Sun"/>
          <w:b/>
          <w:kern w:val="0"/>
          <w:sz w:val="28"/>
          <w:szCs w:val="28"/>
        </w:rPr>
        <w:t xml:space="preserve">5 </w:t>
      </w:r>
      <w:r>
        <w:rPr>
          <w:rFonts w:hint="eastAsia" w:ascii="仿宋_GB2312" w:eastAsia="仿宋_GB2312" w:cs="Sim Sun"/>
          <w:kern w:val="0"/>
          <w:sz w:val="28"/>
          <w:szCs w:val="28"/>
        </w:rPr>
        <w:t>需对不合格项目复验时，按</w:t>
      </w:r>
      <w:r>
        <w:rPr>
          <w:rFonts w:ascii="仿宋_GB2312" w:eastAsia="仿宋_GB2312" w:cs="Sim Sun"/>
          <w:kern w:val="0"/>
          <w:sz w:val="28"/>
          <w:szCs w:val="28"/>
        </w:rPr>
        <w:t>6</w:t>
      </w:r>
      <w:r>
        <w:rPr>
          <w:rFonts w:hint="eastAsia" w:ascii="仿宋_GB2312" w:eastAsia="仿宋_GB2312" w:cs="Sim Sun"/>
          <w:kern w:val="0"/>
          <w:sz w:val="28"/>
          <w:szCs w:val="28"/>
        </w:rPr>
        <w:t>.1选择复检样品。</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深圳市市场监督管理局根据初检、复检结果及企业提交的证明材料，做出复检结论，复检结论为最终结论。</w:t>
      </w:r>
    </w:p>
    <w:p>
      <w:pPr>
        <w:pStyle w:val="3"/>
        <w:spacing w:before="0" w:after="0" w:line="600" w:lineRule="exact"/>
      </w:pPr>
      <w:r>
        <w:rPr>
          <w:rFonts w:hint="eastAsia"/>
        </w:rPr>
        <w:t>9 附则</w:t>
      </w:r>
    </w:p>
    <w:p>
      <w:pPr>
        <w:snapToGrid w:val="0"/>
        <w:spacing w:line="600" w:lineRule="exact"/>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ind w:firstLine="560" w:firstLineChars="200"/>
      </w:pPr>
      <w:bookmarkStart w:id="0" w:name="_GoBack"/>
      <w:bookmarkEnd w:id="0"/>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5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3">
    <w:name w:val="heading 5"/>
    <w:basedOn w:val="1"/>
    <w:next w:val="1"/>
    <w:qFormat/>
    <w:uiPriority w:val="0"/>
    <w:pPr>
      <w:keepNext/>
      <w:keepLines/>
      <w:spacing w:before="280" w:after="290" w:line="376" w:lineRule="auto"/>
      <w:outlineLvl w:val="4"/>
    </w:pPr>
    <w:rPr>
      <w:rFonts w:ascii="Calibri" w:hAnsi="Calibri" w:eastAsia="仿宋_GB2312"/>
      <w:b/>
      <w:bCs/>
      <w:sz w:val="28"/>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customStyle="1" w:styleId="7">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2020-05-28T02:10:53Z</dcterms:created>
  <dc:creator>changmy</dc:creator>
  <cp:lastModifiedBy>常孟园</cp:lastModifiedBy>
  <dcterms:modified xsi:type="dcterms:W3CDTF">2020-05-28T02:11:06Z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