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spacing w:before="234"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234" w:beforeLines="75" w:line="360" w:lineRule="auto"/>
        <w:jc w:val="center"/>
        <w:rPr>
          <w:rFonts w:ascii="黑体" w:hAnsi="黑体" w:eastAsia="黑体"/>
          <w:sz w:val="36"/>
          <w:szCs w:val="36"/>
        </w:rPr>
      </w:pPr>
      <w:r>
        <w:rPr>
          <w:rFonts w:hint="eastAsia" w:ascii="黑体" w:hAnsi="黑体" w:eastAsia="黑体"/>
          <w:sz w:val="36"/>
          <w:szCs w:val="36"/>
        </w:rPr>
        <w:t xml:space="preserve">家具产品质量监督抽查实施规范 </w:t>
      </w:r>
    </w:p>
    <w:p>
      <w:pPr>
        <w:spacing w:before="234"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051</w:t>
      </w:r>
      <w:r>
        <w:rPr>
          <w:rFonts w:ascii="黑体" w:hAnsi="黑体" w:eastAsia="黑体"/>
          <w:sz w:val="28"/>
        </w:rPr>
        <w:t>-</w:t>
      </w:r>
      <w:r>
        <w:rPr>
          <w:rFonts w:hint="eastAsia" w:ascii="黑体" w:hAnsi="黑体" w:eastAsia="黑体"/>
          <w:sz w:val="28"/>
        </w:rPr>
        <w:t>2020</w:t>
      </w:r>
    </w:p>
    <w:p>
      <w:pPr>
        <w:snapToGrid w:val="0"/>
        <w:spacing w:line="360" w:lineRule="auto"/>
        <w:rPr>
          <w:rFonts w:ascii="仿宋_GB2312" w:hAnsi="宋体" w:eastAsia="仿宋_GB2312"/>
          <w:b/>
          <w:sz w:val="22"/>
          <w:szCs w:val="21"/>
        </w:rPr>
      </w:pP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1 适用范围</w:t>
      </w:r>
    </w:p>
    <w:p>
      <w:pPr>
        <w:snapToGrid w:val="0"/>
        <w:spacing w:line="360" w:lineRule="auto"/>
        <w:ind w:firstLine="627" w:firstLineChars="196"/>
        <w:rPr>
          <w:rFonts w:ascii="仿宋_GB2312" w:hAnsi="宋体" w:eastAsia="仿宋_GB2312"/>
          <w:sz w:val="32"/>
          <w:szCs w:val="28"/>
        </w:rPr>
      </w:pPr>
      <w:r>
        <w:rPr>
          <w:rFonts w:hint="eastAsia" w:ascii="仿宋_GB2312" w:hAnsi="宋体" w:eastAsia="仿宋_GB2312"/>
          <w:sz w:val="32"/>
          <w:szCs w:val="28"/>
        </w:rPr>
        <w:t>本规范适用于深圳市生产及流通领域家具产品质量监督抽查。监督抽查产品范围适用于：木制家具、金属家具（含木质部件、软体包覆部件的金属家具）、软体家具、竹制家具等。</w:t>
      </w:r>
    </w:p>
    <w:p>
      <w:pPr>
        <w:snapToGrid w:val="0"/>
        <w:spacing w:line="360" w:lineRule="auto"/>
        <w:ind w:firstLine="627" w:firstLineChars="196"/>
        <w:rPr>
          <w:rFonts w:ascii="仿宋_GB2312" w:hAnsi="宋体" w:eastAsia="仿宋_GB2312"/>
          <w:sz w:val="32"/>
          <w:szCs w:val="28"/>
        </w:rPr>
      </w:pPr>
      <w:r>
        <w:rPr>
          <w:rFonts w:hint="eastAsia" w:ascii="仿宋_GB2312" w:hAnsi="宋体" w:eastAsia="仿宋_GB2312"/>
          <w:sz w:val="32"/>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2产品种类</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4"/>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木家具</w:t>
            </w:r>
          </w:p>
        </w:tc>
        <w:tc>
          <w:tcPr>
            <w:tcW w:w="6305" w:type="dxa"/>
            <w:noWrap w:val="0"/>
            <w:vAlign w:val="center"/>
          </w:tcPr>
          <w:p>
            <w:pPr>
              <w:autoSpaceDE w:val="0"/>
              <w:autoSpaceDN w:val="0"/>
              <w:adjustRightInd w:val="0"/>
              <w:spacing w:line="300" w:lineRule="exact"/>
              <w:rPr>
                <w:rFonts w:ascii="宋体" w:hAnsi="宋体" w:eastAsia="仿宋_GB2312" w:cs="宋体"/>
                <w:kern w:val="0"/>
                <w:sz w:val="24"/>
              </w:rPr>
            </w:pPr>
            <w:r>
              <w:rPr>
                <w:rFonts w:hint="eastAsia" w:ascii="仿宋_GB2312" w:eastAsia="仿宋_GB2312" w:cs="宋体"/>
                <w:kern w:val="0"/>
                <w:sz w:val="24"/>
                <w:szCs w:val="21"/>
              </w:rPr>
              <w:t>木制柜、木制桌、木制椅凳等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软体家具</w:t>
            </w:r>
          </w:p>
        </w:tc>
        <w:tc>
          <w:tcPr>
            <w:tcW w:w="6305" w:type="dxa"/>
            <w:noWrap w:val="0"/>
            <w:vAlign w:val="center"/>
          </w:tcPr>
          <w:p>
            <w:pPr>
              <w:autoSpaceDE w:val="0"/>
              <w:autoSpaceDN w:val="0"/>
              <w:adjustRightInd w:val="0"/>
              <w:spacing w:line="300" w:lineRule="exact"/>
              <w:rPr>
                <w:rFonts w:ascii="仿宋_GB2312" w:eastAsia="仿宋_GB2312" w:cs="宋体"/>
                <w:kern w:val="0"/>
                <w:sz w:val="24"/>
                <w:szCs w:val="21"/>
              </w:rPr>
            </w:pPr>
            <w:r>
              <w:rPr>
                <w:rFonts w:hint="eastAsia" w:ascii="仿宋_GB2312" w:eastAsia="仿宋_GB2312" w:cs="宋体"/>
                <w:kern w:val="0"/>
                <w:sz w:val="24"/>
                <w:szCs w:val="21"/>
              </w:rPr>
              <w:t>沙发、弹簧软床垫、棕纤维弹性床垫等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金属家具</w:t>
            </w:r>
          </w:p>
        </w:tc>
        <w:tc>
          <w:tcPr>
            <w:tcW w:w="6305" w:type="dxa"/>
            <w:noWrap w:val="0"/>
            <w:vAlign w:val="center"/>
          </w:tcPr>
          <w:p>
            <w:pPr>
              <w:autoSpaceDE w:val="0"/>
              <w:autoSpaceDN w:val="0"/>
              <w:adjustRightInd w:val="0"/>
              <w:spacing w:line="300" w:lineRule="exact"/>
              <w:rPr>
                <w:rFonts w:ascii="仿宋_GB2312" w:eastAsia="仿宋_GB2312" w:cs="宋体"/>
                <w:kern w:val="0"/>
                <w:sz w:val="24"/>
                <w:szCs w:val="21"/>
              </w:rPr>
            </w:pPr>
            <w:r>
              <w:rPr>
                <w:rFonts w:hint="eastAsia" w:ascii="仿宋_GB2312" w:eastAsia="仿宋_GB2312" w:cs="宋体"/>
                <w:kern w:val="0"/>
                <w:sz w:val="24"/>
                <w:szCs w:val="21"/>
              </w:rPr>
              <w:t>办公椅（转椅）、钢木桌（椅）等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竹制家具</w:t>
            </w:r>
          </w:p>
        </w:tc>
        <w:tc>
          <w:tcPr>
            <w:tcW w:w="6305" w:type="dxa"/>
            <w:noWrap w:val="0"/>
            <w:vAlign w:val="center"/>
          </w:tcPr>
          <w:p>
            <w:pPr>
              <w:autoSpaceDE w:val="0"/>
              <w:autoSpaceDN w:val="0"/>
              <w:adjustRightInd w:val="0"/>
              <w:spacing w:line="300" w:lineRule="exact"/>
              <w:rPr>
                <w:rFonts w:ascii="仿宋_GB2312" w:hAnsi="宋体" w:eastAsia="仿宋_GB2312" w:cs="宋体"/>
                <w:kern w:val="0"/>
                <w:sz w:val="24"/>
                <w:szCs w:val="21"/>
              </w:rPr>
            </w:pPr>
            <w:r>
              <w:rPr>
                <w:rFonts w:hint="eastAsia" w:ascii="仿宋_GB2312" w:eastAsia="仿宋_GB2312" w:cs="宋体"/>
                <w:kern w:val="0"/>
                <w:sz w:val="24"/>
                <w:szCs w:val="21"/>
              </w:rPr>
              <w:t>竹</w:t>
            </w:r>
            <w:r>
              <w:rPr>
                <w:rFonts w:hint="eastAsia" w:ascii="仿宋_GB2312" w:hAnsi="宋体" w:eastAsia="仿宋_GB2312" w:cs="宋体"/>
                <w:kern w:val="0"/>
                <w:sz w:val="24"/>
                <w:szCs w:val="21"/>
              </w:rPr>
              <w:t>制桌、竹制柜、竹制椅凳等</w:t>
            </w:r>
          </w:p>
        </w:tc>
      </w:tr>
    </w:tbl>
    <w:p>
      <w:pPr>
        <w:snapToGrid w:val="0"/>
        <w:spacing w:before="156" w:beforeLines="50" w:line="360" w:lineRule="auto"/>
        <w:rPr>
          <w:rFonts w:ascii="仿宋_GB2312" w:hAnsi="宋体" w:eastAsia="仿宋_GB2312"/>
          <w:b/>
          <w:sz w:val="32"/>
          <w:szCs w:val="28"/>
        </w:rPr>
      </w:pPr>
      <w:r>
        <w:rPr>
          <w:rFonts w:hint="eastAsia" w:ascii="仿宋_GB2312" w:hAnsi="宋体" w:eastAsia="仿宋_GB2312"/>
          <w:b/>
          <w:sz w:val="32"/>
          <w:szCs w:val="28"/>
        </w:rPr>
        <w:t>3 术语和定义</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术语和定义见表2。</w:t>
      </w:r>
    </w:p>
    <w:p>
      <w:pPr>
        <w:snapToGrid w:val="0"/>
        <w:jc w:val="center"/>
        <w:rPr>
          <w:rFonts w:ascii="黑体" w:hAnsi="黑体" w:eastAsia="黑体"/>
          <w:sz w:val="28"/>
          <w:szCs w:val="28"/>
        </w:rPr>
      </w:pP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4"/>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sz w:val="24"/>
              </w:rPr>
              <w:t>木家具</w:t>
            </w:r>
          </w:p>
        </w:tc>
        <w:tc>
          <w:tcPr>
            <w:tcW w:w="6447" w:type="dxa"/>
            <w:noWrap w:val="0"/>
            <w:vAlign w:val="center"/>
          </w:tcPr>
          <w:p>
            <w:pPr>
              <w:autoSpaceDE w:val="0"/>
              <w:autoSpaceDN w:val="0"/>
              <w:adjustRightInd w:val="0"/>
              <w:jc w:val="left"/>
              <w:rPr>
                <w:rFonts w:ascii="仿宋_GB2312" w:hAnsi="宋体" w:eastAsia="仿宋_GB2312"/>
                <w:sz w:val="24"/>
              </w:rPr>
            </w:pPr>
            <w:r>
              <w:rPr>
                <w:rFonts w:hint="eastAsia" w:ascii="仿宋_GB2312" w:hAnsi="宋体" w:eastAsia="仿宋_GB2312"/>
                <w:sz w:val="24"/>
              </w:rPr>
              <w:t>主要零部件只装饰件、配件除外，其余采用木材、人造板等木质材料制成的家具。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sz w:val="24"/>
              </w:rPr>
              <w:t>金属家具</w:t>
            </w:r>
          </w:p>
        </w:tc>
        <w:tc>
          <w:tcPr>
            <w:tcW w:w="6447" w:type="dxa"/>
            <w:noWrap w:val="0"/>
            <w:vAlign w:val="center"/>
          </w:tcPr>
          <w:p>
            <w:pPr>
              <w:autoSpaceDE w:val="0"/>
              <w:autoSpaceDN w:val="0"/>
              <w:adjustRightInd w:val="0"/>
              <w:jc w:val="left"/>
              <w:rPr>
                <w:rFonts w:ascii="宋体" w:hAnsi="宋体" w:cs="宋体"/>
                <w:kern w:val="0"/>
                <w:sz w:val="24"/>
              </w:rPr>
            </w:pPr>
            <w:r>
              <w:rPr>
                <w:rFonts w:hint="eastAsia" w:ascii="仿宋_GB2312" w:hAnsi="宋体" w:eastAsia="仿宋_GB2312"/>
                <w:sz w:val="24"/>
              </w:rPr>
              <w:t>以金属管材、板材等其他型材为主组成的构架或构件，配以木材、人造板、皮革、纺织面料、塑料、玻璃、石材等辅助材料制作零部件的家具，或全部由金属材料制作的家具。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sz w:val="24"/>
              </w:rPr>
              <w:t>软体家具</w:t>
            </w:r>
          </w:p>
        </w:tc>
        <w:tc>
          <w:tcPr>
            <w:tcW w:w="6447" w:type="dxa"/>
            <w:noWrap w:val="0"/>
            <w:vAlign w:val="center"/>
          </w:tcPr>
          <w:p>
            <w:pPr>
              <w:autoSpaceDE w:val="0"/>
              <w:autoSpaceDN w:val="0"/>
              <w:adjustRightInd w:val="0"/>
              <w:jc w:val="left"/>
              <w:rPr>
                <w:rFonts w:ascii="仿宋_GB2312" w:hAnsi="宋体" w:eastAsia="仿宋_GB2312"/>
                <w:sz w:val="24"/>
              </w:rPr>
            </w:pPr>
            <w:r>
              <w:rPr>
                <w:rFonts w:hint="eastAsia" w:ascii="仿宋_GB2312" w:hAnsi="宋体" w:eastAsia="仿宋_GB2312"/>
                <w:sz w:val="24"/>
              </w:rPr>
              <w:t>指以海绵、织物为主体的家具，主要包括布艺家具和皮制家具。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sz w:val="24"/>
              </w:rPr>
              <w:t>竹制家具</w:t>
            </w:r>
          </w:p>
        </w:tc>
        <w:tc>
          <w:tcPr>
            <w:tcW w:w="6447" w:type="dxa"/>
            <w:noWrap w:val="0"/>
            <w:vAlign w:val="center"/>
          </w:tcPr>
          <w:p>
            <w:pPr>
              <w:autoSpaceDE w:val="0"/>
              <w:autoSpaceDN w:val="0"/>
              <w:adjustRightInd w:val="0"/>
              <w:jc w:val="left"/>
              <w:rPr>
                <w:rFonts w:ascii="仿宋_GB2312" w:hAnsi="宋体" w:eastAsia="仿宋_GB2312"/>
                <w:sz w:val="24"/>
              </w:rPr>
            </w:pPr>
            <w:r>
              <w:rPr>
                <w:rFonts w:hint="eastAsia" w:ascii="仿宋_GB2312" w:hAnsi="宋体" w:eastAsia="仿宋_GB2312"/>
                <w:sz w:val="24"/>
              </w:rPr>
              <w:t>主要零部件由原竹或竹质材料制成的家具。</w:t>
            </w:r>
          </w:p>
        </w:tc>
      </w:tr>
    </w:tbl>
    <w:p>
      <w:pPr>
        <w:snapToGrid w:val="0"/>
        <w:spacing w:before="156" w:beforeLines="50" w:line="360" w:lineRule="auto"/>
        <w:rPr>
          <w:rFonts w:ascii="仿宋_GB2312" w:hAnsi="宋体" w:eastAsia="仿宋_GB2312"/>
          <w:b/>
          <w:sz w:val="32"/>
          <w:szCs w:val="28"/>
        </w:rPr>
      </w:pPr>
      <w:r>
        <w:rPr>
          <w:rFonts w:hint="eastAsia" w:ascii="仿宋_GB2312" w:hAnsi="宋体" w:eastAsia="仿宋_GB2312"/>
          <w:b/>
          <w:sz w:val="32"/>
          <w:szCs w:val="28"/>
        </w:rPr>
        <w:t>4 检验依据</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检验依据见表3。</w:t>
      </w:r>
    </w:p>
    <w:p>
      <w:pPr>
        <w:snapToGrid w:val="0"/>
        <w:jc w:val="center"/>
        <w:rPr>
          <w:rFonts w:ascii="黑体" w:hAnsi="黑体" w:eastAsia="黑体"/>
          <w:sz w:val="28"/>
          <w:szCs w:val="28"/>
        </w:rPr>
      </w:pPr>
      <w:r>
        <w:rPr>
          <w:rFonts w:hint="eastAsia" w:ascii="黑体" w:hAnsi="黑体" w:eastAsia="黑体"/>
          <w:sz w:val="28"/>
          <w:szCs w:val="28"/>
        </w:rPr>
        <w:t>表3 检验依据</w:t>
      </w:r>
    </w:p>
    <w:tbl>
      <w:tblPr>
        <w:tblStyle w:val="4"/>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407"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SZJG 52-2016</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家具成品及原辅材料中有害物质限量</w:t>
            </w:r>
          </w:p>
        </w:tc>
        <w:tc>
          <w:tcPr>
            <w:tcW w:w="2786" w:type="dxa"/>
            <w:noWrap w:val="0"/>
            <w:vAlign w:val="center"/>
          </w:tcPr>
          <w:p>
            <w:pPr>
              <w:snapToGrid w:val="0"/>
              <w:jc w:val="center"/>
              <w:rPr>
                <w:rFonts w:ascii="宋体" w:hAnsi="Calibri"/>
                <w:sz w:val="24"/>
                <w:szCs w:val="21"/>
              </w:rPr>
            </w:pPr>
            <w:r>
              <w:rPr>
                <w:rFonts w:hint="eastAsia" w:ascii="宋体" w:hAnsi="Calibri"/>
                <w:sz w:val="24"/>
                <w:szCs w:val="21"/>
              </w:rPr>
              <w:sym w:font="Wingdings 2" w:char="F052"/>
            </w:r>
            <w:r>
              <w:rPr>
                <w:rFonts w:hint="eastAsia" w:ascii="仿宋_GB2312" w:hAnsi="宋体" w:eastAsia="仿宋_GB2312"/>
                <w:sz w:val="24"/>
                <w:szCs w:val="21"/>
              </w:rPr>
              <w:t xml:space="preserve">CMA  </w:t>
            </w:r>
            <w:r>
              <w:rPr>
                <w:rFonts w:hint="eastAsia" w:ascii="宋体" w:hAnsi="Calibri"/>
                <w:sz w:val="24"/>
                <w:szCs w:val="21"/>
              </w:rPr>
              <w:sym w:font="Wingdings 2" w:char="F052"/>
            </w:r>
            <w:r>
              <w:rPr>
                <w:rFonts w:hint="eastAsia" w:ascii="仿宋_GB2312" w:hAnsi="宋体" w:eastAsia="仿宋_GB2312"/>
                <w:sz w:val="24"/>
                <w:szCs w:val="21"/>
              </w:rPr>
              <w:t xml:space="preserve">CAL </w:t>
            </w:r>
            <w:r>
              <w:rPr>
                <w:rFonts w:hint="eastAsia" w:ascii="宋体" w:hAnsi="Calibri"/>
                <w:sz w:val="24"/>
                <w:szCs w:val="21"/>
              </w:rPr>
              <w:sym w:font="Wingdings 2" w:char="F052"/>
            </w:r>
            <w:r>
              <w:rPr>
                <w:rFonts w:hint="eastAsia" w:ascii="仿宋_GB2312" w:hAnsi="宋体" w:eastAsia="仿宋_GB2312"/>
                <w:sz w:val="24"/>
                <w:szCs w:val="21"/>
              </w:rPr>
              <w:t>CNAS</w:t>
            </w:r>
          </w:p>
        </w:tc>
      </w:tr>
    </w:tbl>
    <w:p>
      <w:pPr>
        <w:snapToGrid w:val="0"/>
        <w:spacing w:line="360" w:lineRule="auto"/>
        <w:ind w:firstLine="627" w:firstLineChars="196"/>
        <w:rPr>
          <w:rFonts w:ascii="仿宋_GB2312" w:hAnsi="宋体" w:eastAsia="仿宋_GB2312"/>
          <w:sz w:val="32"/>
          <w:szCs w:val="28"/>
        </w:rPr>
      </w:pPr>
      <w:r>
        <w:rPr>
          <w:rFonts w:hint="eastAsia" w:ascii="仿宋_GB2312" w:hAnsi="宋体" w:eastAsia="仿宋_GB2312"/>
          <w:sz w:val="32"/>
          <w:szCs w:val="28"/>
        </w:rPr>
        <w:t>相关的产品强制性标准、行业标准、政府法规及产品的明示标准和明示担保内容。</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5 抽样</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5.1 抽样型号或规格</w:t>
      </w:r>
    </w:p>
    <w:p>
      <w:pPr>
        <w:snapToGrid w:val="0"/>
        <w:spacing w:line="360" w:lineRule="auto"/>
        <w:ind w:firstLine="614" w:firstLineChars="192"/>
        <w:rPr>
          <w:rFonts w:ascii="仿宋_GB2312" w:hAnsi="宋体" w:eastAsia="仿宋_GB2312"/>
          <w:sz w:val="32"/>
          <w:szCs w:val="28"/>
        </w:rPr>
      </w:pPr>
      <w:r>
        <w:rPr>
          <w:rFonts w:hint="eastAsia" w:ascii="仿宋_GB2312" w:hAnsi="宋体" w:eastAsia="仿宋_GB2312"/>
          <w:sz w:val="32"/>
          <w:szCs w:val="28"/>
        </w:rPr>
        <w:t>抽取样品须为同一型号规格，同一批次的产品。</w:t>
      </w:r>
    </w:p>
    <w:p>
      <w:pPr>
        <w:snapToGrid w:val="0"/>
        <w:spacing w:line="360" w:lineRule="auto"/>
        <w:rPr>
          <w:rFonts w:ascii="仿宋_GB2312" w:hAnsi="宋体" w:eastAsia="仿宋_GB2312"/>
          <w:sz w:val="32"/>
          <w:szCs w:val="28"/>
        </w:rPr>
      </w:pPr>
      <w:r>
        <w:rPr>
          <w:rFonts w:hint="eastAsia" w:ascii="仿宋_GB2312" w:hAnsi="仿宋" w:eastAsia="仿宋_GB2312"/>
          <w:b/>
          <w:sz w:val="32"/>
          <w:szCs w:val="28"/>
        </w:rPr>
        <w:t xml:space="preserve">5.2 </w:t>
      </w:r>
      <w:r>
        <w:rPr>
          <w:rFonts w:hint="eastAsia" w:ascii="仿宋_GB2312" w:hAnsi="宋体" w:eastAsia="仿宋_GB2312"/>
          <w:b/>
          <w:sz w:val="32"/>
          <w:szCs w:val="28"/>
        </w:rPr>
        <w:t>取样方式</w:t>
      </w:r>
      <w:r>
        <w:rPr>
          <w:rFonts w:hint="eastAsia" w:ascii="仿宋_GB2312" w:hAnsi="宋体" w:eastAsia="仿宋_GB2312"/>
          <w:b/>
          <w:sz w:val="32"/>
          <w:szCs w:val="28"/>
        </w:rPr>
        <w:br w:type="textWrapping"/>
      </w:r>
      <w:r>
        <w:rPr>
          <w:rFonts w:hint="eastAsia" w:ascii="仿宋_GB2312" w:hAnsi="宋体" w:eastAsia="仿宋_GB2312"/>
          <w:b/>
          <w:bCs/>
          <w:sz w:val="32"/>
          <w:szCs w:val="28"/>
        </w:rPr>
        <w:t>生产领域：</w:t>
      </w:r>
      <w:r>
        <w:rPr>
          <w:rFonts w:hint="eastAsia" w:ascii="仿宋_GB2312" w:hAnsi="宋体" w:eastAsia="仿宋_GB2312"/>
          <w:sz w:val="32"/>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32"/>
          <w:szCs w:val="28"/>
        </w:rPr>
        <w:t>向被抽样企业提交</w:t>
      </w:r>
      <w:r>
        <w:rPr>
          <w:rFonts w:hint="eastAsia" w:ascii="仿宋_GB2312" w:hAnsi="宋体" w:eastAsia="仿宋_GB2312"/>
          <w:sz w:val="32"/>
          <w:szCs w:val="28"/>
        </w:rPr>
        <w:t>《无偿提供样品通知书》及</w:t>
      </w:r>
      <w:r>
        <w:rPr>
          <w:rFonts w:ascii="仿宋_GB2312" w:hAnsi="宋体" w:eastAsia="仿宋_GB2312"/>
          <w:sz w:val="32"/>
          <w:szCs w:val="28"/>
        </w:rPr>
        <w:t>《退样通知书》，被抽样企业可凭《退样通知书》并按相关规定退回无偿提供的样品。</w:t>
      </w:r>
      <w:r>
        <w:rPr>
          <w:rFonts w:hint="eastAsia" w:ascii="仿宋_GB2312" w:hAnsi="宋体" w:eastAsia="仿宋_GB2312"/>
          <w:sz w:val="32"/>
          <w:szCs w:val="28"/>
        </w:rPr>
        <w:br w:type="textWrapping"/>
      </w:r>
      <w:r>
        <w:rPr>
          <w:rFonts w:hint="eastAsia" w:ascii="仿宋_GB2312" w:hAnsi="宋体" w:eastAsia="仿宋_GB2312"/>
          <w:b/>
          <w:bCs/>
          <w:sz w:val="32"/>
          <w:szCs w:val="28"/>
        </w:rPr>
        <w:t xml:space="preserve"> 流通领域：</w:t>
      </w:r>
      <w:r>
        <w:rPr>
          <w:rFonts w:hint="eastAsia" w:ascii="仿宋_GB2312" w:hAnsi="宋体" w:eastAsia="仿宋_GB2312"/>
          <w:sz w:val="32"/>
          <w:szCs w:val="28"/>
        </w:rPr>
        <w:t>本次抽样采取在流通领域实体店以及网络交易平台两种方式获得样品。</w:t>
      </w:r>
    </w:p>
    <w:p>
      <w:pPr>
        <w:snapToGrid w:val="0"/>
        <w:spacing w:line="360" w:lineRule="auto"/>
        <w:rPr>
          <w:rFonts w:ascii="仿宋_GB2312" w:hAnsi="宋体" w:eastAsia="仿宋_GB2312"/>
          <w:b/>
          <w:sz w:val="32"/>
          <w:szCs w:val="28"/>
        </w:rPr>
      </w:pPr>
      <w:r>
        <w:rPr>
          <w:rFonts w:hint="eastAsia" w:ascii="仿宋_GB2312" w:hAnsi="宋体" w:eastAsia="仿宋_GB2312"/>
          <w:sz w:val="32"/>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32"/>
          <w:szCs w:val="28"/>
        </w:rPr>
        <w:t>向被抽样企业提交</w:t>
      </w:r>
      <w:r>
        <w:rPr>
          <w:rFonts w:hint="eastAsia" w:ascii="仿宋_GB2312" w:hAnsi="宋体" w:eastAsia="仿宋_GB2312"/>
          <w:sz w:val="32"/>
          <w:szCs w:val="28"/>
        </w:rPr>
        <w:t>《无偿提供样品通知书》及</w:t>
      </w:r>
      <w:r>
        <w:rPr>
          <w:rFonts w:ascii="仿宋_GB2312" w:hAnsi="宋体" w:eastAsia="仿宋_GB2312"/>
          <w:sz w:val="32"/>
          <w:szCs w:val="28"/>
        </w:rPr>
        <w:t>《退样通知书》，被抽样企业可凭《退样通知书》并按相关规定退回无偿提供的样品。</w:t>
      </w:r>
      <w:r>
        <w:rPr>
          <w:rFonts w:hint="eastAsia" w:ascii="仿宋_GB2312" w:hAnsi="宋体" w:eastAsia="仿宋_GB2312"/>
          <w:sz w:val="32"/>
          <w:szCs w:val="28"/>
        </w:rPr>
        <w:br w:type="textWrapping"/>
      </w:r>
      <w:r>
        <w:rPr>
          <w:rFonts w:hint="eastAsia" w:ascii="仿宋_GB2312" w:hAnsi="宋体" w:eastAsia="仿宋_GB2312"/>
          <w:sz w:val="32"/>
          <w:szCs w:val="28"/>
        </w:rPr>
        <w:t>（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sz w:val="32"/>
          <w:szCs w:val="28"/>
        </w:rPr>
        <w:br w:type="textWrapping"/>
      </w:r>
      <w:r>
        <w:rPr>
          <w:rFonts w:hint="eastAsia" w:ascii="仿宋_GB2312" w:hAnsi="宋体" w:eastAsia="仿宋_GB2312"/>
          <w:b/>
          <w:sz w:val="32"/>
          <w:szCs w:val="28"/>
        </w:rPr>
        <w:t>5.3 抽样基数</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在生产企业和市场上抽样时，抽样基数应不少于抽取样品量。</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5.4 抽样数量</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生产领域：随机抽取同一规格型号的1件样品作为检验样品带回承检单位，不抽备用样品；</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流通领域（实体店）：随机抽取同一规格型号的1件样品作为检验样品带回承检单位，不抽备用样品。</w:t>
      </w:r>
    </w:p>
    <w:p>
      <w:pPr>
        <w:snapToGrid w:val="0"/>
        <w:spacing w:line="360" w:lineRule="auto"/>
        <w:ind w:firstLine="640" w:firstLineChars="200"/>
        <w:rPr>
          <w:rFonts w:ascii="仿宋_GB2312" w:hAnsi="宋体" w:eastAsia="仿宋_GB2312"/>
          <w:sz w:val="32"/>
          <w:szCs w:val="28"/>
        </w:rPr>
      </w:pPr>
      <w:r>
        <w:rPr>
          <w:rFonts w:hint="eastAsia" w:ascii="仿宋_GB2312" w:hAnsi="宋体" w:eastAsia="仿宋_GB2312"/>
          <w:sz w:val="32"/>
          <w:szCs w:val="28"/>
        </w:rPr>
        <w:t>流通领域（网络交易平台）：随机抽取同一规格型号的1件样品作为检验样品带回承检单位，不抽备用样品。</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5.5 样品处置</w:t>
      </w:r>
    </w:p>
    <w:p>
      <w:pPr>
        <w:spacing w:line="360" w:lineRule="auto"/>
        <w:rPr>
          <w:rFonts w:ascii="仿宋_GB2312" w:hAnsi="宋体" w:eastAsia="仿宋_GB2312"/>
          <w:sz w:val="32"/>
          <w:szCs w:val="28"/>
        </w:rPr>
      </w:pPr>
      <w:r>
        <w:rPr>
          <w:rFonts w:hint="eastAsia" w:ascii="仿宋_GB2312" w:hAnsi="ˎ̥" w:eastAsia="仿宋_GB2312"/>
          <w:b/>
          <w:sz w:val="32"/>
          <w:szCs w:val="28"/>
        </w:rPr>
        <w:t>5.5.1</w:t>
      </w:r>
      <w:r>
        <w:rPr>
          <w:rFonts w:hint="eastAsia" w:ascii="仿宋_GB2312" w:hAnsi="宋体" w:eastAsia="仿宋_GB2312"/>
          <w:sz w:val="32"/>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sz w:val="32"/>
          <w:szCs w:val="28"/>
        </w:rPr>
      </w:pPr>
      <w:r>
        <w:rPr>
          <w:rFonts w:hint="eastAsia" w:ascii="仿宋_GB2312" w:hAnsi="宋体" w:eastAsia="仿宋_GB2312"/>
          <w:b/>
          <w:sz w:val="32"/>
          <w:szCs w:val="28"/>
        </w:rPr>
        <w:t>5.5.2</w:t>
      </w:r>
      <w:r>
        <w:rPr>
          <w:rFonts w:hint="eastAsia" w:ascii="仿宋_GB2312" w:hAnsi="Calibri" w:eastAsia="仿宋_GB2312"/>
          <w:sz w:val="32"/>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b/>
          <w:sz w:val="32"/>
          <w:szCs w:val="28"/>
        </w:rPr>
      </w:pPr>
      <w:r>
        <w:rPr>
          <w:rFonts w:hint="eastAsia" w:ascii="仿宋_GB2312" w:hAnsi="宋体" w:eastAsia="仿宋_GB2312"/>
          <w:b/>
          <w:sz w:val="32"/>
          <w:szCs w:val="28"/>
        </w:rPr>
        <w:t>5.6 抽样单</w:t>
      </w:r>
    </w:p>
    <w:p>
      <w:pPr>
        <w:snapToGrid w:val="0"/>
        <w:spacing w:line="360" w:lineRule="auto"/>
        <w:ind w:firstLine="614" w:firstLineChars="192"/>
        <w:rPr>
          <w:rFonts w:ascii="仿宋_GB2312" w:hAnsi="Calibri" w:eastAsia="仿宋_GB2312" w:cs="Sim Sun"/>
          <w:kern w:val="0"/>
          <w:sz w:val="32"/>
          <w:szCs w:val="28"/>
        </w:rPr>
      </w:pPr>
      <w:r>
        <w:rPr>
          <w:rFonts w:hint="eastAsia" w:ascii="仿宋_GB2312" w:hAnsi="宋体" w:eastAsia="仿宋_GB2312"/>
          <w:sz w:val="32"/>
          <w:szCs w:val="28"/>
        </w:rPr>
        <w:t>应按有关规定填写抽样单，并记录被抽查产品及企业相关信息。</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6 检验要求</w:t>
      </w:r>
    </w:p>
    <w:p>
      <w:pPr>
        <w:snapToGrid w:val="0"/>
        <w:spacing w:line="360" w:lineRule="auto"/>
        <w:rPr>
          <w:rFonts w:ascii="仿宋_GB2312" w:hAnsi="宋体" w:eastAsia="仿宋_GB2312"/>
          <w:b/>
          <w:sz w:val="32"/>
          <w:szCs w:val="28"/>
        </w:rPr>
      </w:pPr>
      <w:r>
        <w:rPr>
          <w:rFonts w:hint="eastAsia" w:ascii="仿宋_GB2312" w:hAnsi="宋体" w:eastAsia="仿宋_GB2312"/>
          <w:b/>
          <w:sz w:val="32"/>
          <w:szCs w:val="28"/>
        </w:rPr>
        <w:t>6.1 检验项目</w:t>
      </w:r>
    </w:p>
    <w:tbl>
      <w:tblPr>
        <w:tblStyle w:val="4"/>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760"/>
        <w:gridCol w:w="1959"/>
        <w:gridCol w:w="1275"/>
        <w:gridCol w:w="208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23" w:type="dxa"/>
            <w:noWrap w:val="0"/>
            <w:vAlign w:val="center"/>
          </w:tcPr>
          <w:p>
            <w:pPr>
              <w:snapToGrid w:val="0"/>
              <w:jc w:val="center"/>
              <w:rPr>
                <w:rFonts w:ascii="黑体" w:hAnsi="黑体" w:eastAsia="黑体"/>
                <w:sz w:val="24"/>
              </w:rPr>
            </w:pPr>
            <w:r>
              <w:rPr>
                <w:rFonts w:hint="eastAsia" w:ascii="黑体" w:hAnsi="黑体" w:eastAsia="黑体"/>
                <w:sz w:val="24"/>
              </w:rPr>
              <w:t>序号</w:t>
            </w:r>
          </w:p>
        </w:tc>
        <w:tc>
          <w:tcPr>
            <w:tcW w:w="2760" w:type="dxa"/>
            <w:noWrap w:val="0"/>
            <w:vAlign w:val="center"/>
          </w:tcPr>
          <w:p>
            <w:pPr>
              <w:snapToGrid w:val="0"/>
              <w:jc w:val="center"/>
              <w:rPr>
                <w:rFonts w:ascii="黑体" w:hAnsi="黑体" w:eastAsia="黑体"/>
                <w:sz w:val="24"/>
              </w:rPr>
            </w:pPr>
            <w:r>
              <w:rPr>
                <w:rFonts w:hint="eastAsia" w:ascii="黑体" w:hAnsi="黑体" w:eastAsia="黑体"/>
                <w:sz w:val="24"/>
              </w:rPr>
              <w:t>检验项目</w:t>
            </w:r>
          </w:p>
        </w:tc>
        <w:tc>
          <w:tcPr>
            <w:tcW w:w="1959"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27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08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918"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3"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w:t>
            </w:r>
          </w:p>
        </w:tc>
        <w:tc>
          <w:tcPr>
            <w:tcW w:w="2760"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甲醛释放量</w:t>
            </w:r>
          </w:p>
        </w:tc>
        <w:tc>
          <w:tcPr>
            <w:tcW w:w="1959" w:type="dxa"/>
            <w:noWrap w:val="0"/>
            <w:vAlign w:val="center"/>
          </w:tcPr>
          <w:p>
            <w:pPr>
              <w:spacing w:line="400" w:lineRule="exact"/>
              <w:jc w:val="center"/>
              <w:rPr>
                <w:rFonts w:ascii="仿宋_GB2312" w:eastAsia="仿宋_GB2312"/>
                <w:sz w:val="24"/>
              </w:rPr>
            </w:pPr>
            <w:r>
              <w:rPr>
                <w:rFonts w:hint="eastAsia" w:ascii="仿宋_GB2312" w:eastAsia="仿宋_GB2312"/>
                <w:sz w:val="24"/>
              </w:rPr>
              <w:t>SZJG 52-2016 4.1</w:t>
            </w:r>
          </w:p>
        </w:tc>
        <w:tc>
          <w:tcPr>
            <w:tcW w:w="1275" w:type="dxa"/>
            <w:noWrap w:val="0"/>
            <w:vAlign w:val="center"/>
          </w:tcPr>
          <w:p>
            <w:pPr>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083" w:type="dxa"/>
            <w:noWrap w:val="0"/>
            <w:vAlign w:val="center"/>
          </w:tcPr>
          <w:p>
            <w:pPr>
              <w:spacing w:line="400" w:lineRule="exact"/>
              <w:jc w:val="center"/>
              <w:rPr>
                <w:rFonts w:ascii="仿宋_GB2312" w:eastAsia="仿宋_GB2312"/>
                <w:sz w:val="24"/>
              </w:rPr>
            </w:pPr>
            <w:r>
              <w:rPr>
                <w:rFonts w:hint="eastAsia" w:ascii="仿宋_GB2312" w:eastAsia="仿宋_GB2312"/>
                <w:sz w:val="24"/>
              </w:rPr>
              <w:t>SZJG 52-2016</w:t>
            </w:r>
          </w:p>
          <w:p>
            <w:pPr>
              <w:spacing w:line="400" w:lineRule="exact"/>
              <w:jc w:val="center"/>
              <w:rPr>
                <w:rFonts w:ascii="仿宋_GB2312" w:hAnsi="宋体" w:eastAsia="仿宋_GB2312"/>
                <w:sz w:val="24"/>
              </w:rPr>
            </w:pPr>
            <w:r>
              <w:rPr>
                <w:rFonts w:hint="eastAsia" w:ascii="仿宋_GB2312" w:eastAsia="仿宋_GB2312"/>
                <w:sz w:val="24"/>
              </w:rPr>
              <w:t>GB/T 31106-2014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3" w:type="dxa"/>
            <w:noWrap w:val="0"/>
            <w:vAlign w:val="center"/>
          </w:tcPr>
          <w:p>
            <w:pPr>
              <w:pStyle w:val="7"/>
              <w:widowControl w:val="0"/>
              <w:adjustRightInd w:val="0"/>
              <w:snapToGrid w:val="0"/>
              <w:ind w:firstLine="0" w:firstLineChars="0"/>
              <w:jc w:val="center"/>
              <w:rPr>
                <w:rFonts w:ascii="仿宋_GB2312" w:hAnsi="宋体" w:eastAsia="仿宋_GB2312"/>
                <w:sz w:val="24"/>
                <w:szCs w:val="24"/>
              </w:rPr>
            </w:pPr>
            <w:r>
              <w:rPr>
                <w:rFonts w:hint="eastAsia" w:ascii="仿宋_GB2312" w:hAnsi="宋体" w:eastAsia="仿宋_GB2312"/>
                <w:sz w:val="24"/>
                <w:szCs w:val="24"/>
              </w:rPr>
              <w:t>2</w:t>
            </w:r>
          </w:p>
        </w:tc>
        <w:tc>
          <w:tcPr>
            <w:tcW w:w="2760"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苯释放量</w:t>
            </w:r>
          </w:p>
        </w:tc>
        <w:tc>
          <w:tcPr>
            <w:tcW w:w="1959" w:type="dxa"/>
            <w:noWrap w:val="0"/>
            <w:vAlign w:val="center"/>
          </w:tcPr>
          <w:p>
            <w:pPr>
              <w:spacing w:line="400" w:lineRule="exact"/>
              <w:jc w:val="center"/>
              <w:rPr>
                <w:rFonts w:ascii="仿宋_GB2312" w:hAnsi="宋体" w:eastAsia="仿宋_GB2312"/>
                <w:sz w:val="24"/>
              </w:rPr>
            </w:pPr>
            <w:r>
              <w:rPr>
                <w:rFonts w:hint="eastAsia" w:ascii="仿宋_GB2312" w:eastAsia="仿宋_GB2312"/>
                <w:sz w:val="24"/>
              </w:rPr>
              <w:t>SZJG 52-2016 4.1</w:t>
            </w:r>
          </w:p>
        </w:tc>
        <w:tc>
          <w:tcPr>
            <w:tcW w:w="1275" w:type="dxa"/>
            <w:noWrap w:val="0"/>
            <w:vAlign w:val="center"/>
          </w:tcPr>
          <w:p>
            <w:pPr>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083" w:type="dxa"/>
            <w:noWrap w:val="0"/>
            <w:vAlign w:val="center"/>
          </w:tcPr>
          <w:p>
            <w:pPr>
              <w:spacing w:line="400" w:lineRule="exact"/>
              <w:jc w:val="center"/>
              <w:rPr>
                <w:rFonts w:ascii="仿宋_GB2312" w:eastAsia="仿宋_GB2312"/>
                <w:sz w:val="24"/>
              </w:rPr>
            </w:pPr>
            <w:r>
              <w:rPr>
                <w:rFonts w:hint="eastAsia" w:ascii="仿宋_GB2312" w:eastAsia="仿宋_GB2312"/>
                <w:sz w:val="24"/>
              </w:rPr>
              <w:t>SZJG 52-2016</w:t>
            </w:r>
          </w:p>
          <w:p>
            <w:pPr>
              <w:spacing w:line="400" w:lineRule="exact"/>
              <w:jc w:val="center"/>
              <w:rPr>
                <w:rFonts w:ascii="仿宋_GB2312" w:hAnsi="宋体" w:eastAsia="仿宋_GB2312"/>
                <w:sz w:val="24"/>
              </w:rPr>
            </w:pPr>
            <w:r>
              <w:rPr>
                <w:rFonts w:hint="eastAsia" w:ascii="仿宋_GB2312" w:eastAsia="仿宋_GB2312"/>
                <w:sz w:val="24"/>
              </w:rPr>
              <w:t>GB/T 31106-2014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3" w:type="dxa"/>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2760"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甲苯释放量</w:t>
            </w:r>
          </w:p>
        </w:tc>
        <w:tc>
          <w:tcPr>
            <w:tcW w:w="1959" w:type="dxa"/>
            <w:noWrap w:val="0"/>
            <w:vAlign w:val="center"/>
          </w:tcPr>
          <w:p>
            <w:pPr>
              <w:spacing w:line="400" w:lineRule="exact"/>
              <w:jc w:val="center"/>
              <w:rPr>
                <w:rFonts w:ascii="仿宋_GB2312" w:hAnsi="宋体" w:eastAsia="仿宋_GB2312"/>
                <w:sz w:val="24"/>
              </w:rPr>
            </w:pPr>
            <w:r>
              <w:rPr>
                <w:rFonts w:hint="eastAsia" w:ascii="仿宋_GB2312" w:eastAsia="仿宋_GB2312"/>
                <w:sz w:val="24"/>
              </w:rPr>
              <w:t>SZJG 52-2016 4.1</w:t>
            </w:r>
          </w:p>
        </w:tc>
        <w:tc>
          <w:tcPr>
            <w:tcW w:w="1275" w:type="dxa"/>
            <w:noWrap w:val="0"/>
            <w:vAlign w:val="center"/>
          </w:tcPr>
          <w:p>
            <w:pPr>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083" w:type="dxa"/>
            <w:noWrap w:val="0"/>
            <w:vAlign w:val="center"/>
          </w:tcPr>
          <w:p>
            <w:pPr>
              <w:spacing w:line="400" w:lineRule="exact"/>
              <w:jc w:val="center"/>
              <w:rPr>
                <w:rFonts w:ascii="仿宋_GB2312" w:eastAsia="仿宋_GB2312"/>
                <w:sz w:val="24"/>
              </w:rPr>
            </w:pPr>
            <w:r>
              <w:rPr>
                <w:rFonts w:hint="eastAsia" w:ascii="仿宋_GB2312" w:eastAsia="仿宋_GB2312"/>
                <w:sz w:val="24"/>
              </w:rPr>
              <w:t>SZJG 52-2016</w:t>
            </w:r>
          </w:p>
          <w:p>
            <w:pPr>
              <w:spacing w:line="400" w:lineRule="exact"/>
              <w:jc w:val="center"/>
              <w:rPr>
                <w:rFonts w:ascii="仿宋_GB2312" w:hAnsi="宋体" w:eastAsia="仿宋_GB2312"/>
                <w:sz w:val="24"/>
              </w:rPr>
            </w:pPr>
            <w:r>
              <w:rPr>
                <w:rFonts w:hint="eastAsia" w:ascii="仿宋_GB2312" w:eastAsia="仿宋_GB2312"/>
                <w:sz w:val="24"/>
              </w:rPr>
              <w:t>GB/T 31106-2014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3" w:type="dxa"/>
            <w:noWrap w:val="0"/>
            <w:vAlign w:val="center"/>
          </w:tcPr>
          <w:p>
            <w:pPr>
              <w:pStyle w:val="7"/>
              <w:widowControl w:val="0"/>
              <w:adjustRightInd w:val="0"/>
              <w:snapToGrid w:val="0"/>
              <w:ind w:firstLine="0" w:firstLineChars="0"/>
              <w:jc w:val="center"/>
              <w:rPr>
                <w:rFonts w:ascii="仿宋_GB2312" w:hAnsi="宋体" w:eastAsia="仿宋_GB2312"/>
                <w:sz w:val="24"/>
                <w:szCs w:val="24"/>
              </w:rPr>
            </w:pPr>
            <w:r>
              <w:rPr>
                <w:rFonts w:hint="eastAsia" w:ascii="仿宋_GB2312" w:hAnsi="宋体" w:eastAsia="仿宋_GB2312"/>
                <w:sz w:val="24"/>
                <w:szCs w:val="24"/>
              </w:rPr>
              <w:t>4</w:t>
            </w:r>
          </w:p>
        </w:tc>
        <w:tc>
          <w:tcPr>
            <w:tcW w:w="2760"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二甲苯释放量</w:t>
            </w:r>
          </w:p>
        </w:tc>
        <w:tc>
          <w:tcPr>
            <w:tcW w:w="1959" w:type="dxa"/>
            <w:noWrap w:val="0"/>
            <w:vAlign w:val="center"/>
          </w:tcPr>
          <w:p>
            <w:pPr>
              <w:spacing w:line="400" w:lineRule="exact"/>
              <w:jc w:val="center"/>
              <w:rPr>
                <w:rFonts w:ascii="仿宋_GB2312" w:hAnsi="宋体" w:eastAsia="仿宋_GB2312"/>
                <w:sz w:val="24"/>
              </w:rPr>
            </w:pPr>
            <w:r>
              <w:rPr>
                <w:rFonts w:hint="eastAsia" w:ascii="仿宋_GB2312" w:eastAsia="仿宋_GB2312"/>
                <w:sz w:val="24"/>
              </w:rPr>
              <w:t>SZJG 52-2016 4.1</w:t>
            </w:r>
          </w:p>
        </w:tc>
        <w:tc>
          <w:tcPr>
            <w:tcW w:w="1275" w:type="dxa"/>
            <w:noWrap w:val="0"/>
            <w:vAlign w:val="center"/>
          </w:tcPr>
          <w:p>
            <w:pPr>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083" w:type="dxa"/>
            <w:noWrap w:val="0"/>
            <w:vAlign w:val="center"/>
          </w:tcPr>
          <w:p>
            <w:pPr>
              <w:spacing w:line="400" w:lineRule="exact"/>
              <w:jc w:val="center"/>
              <w:rPr>
                <w:rFonts w:ascii="仿宋_GB2312" w:eastAsia="仿宋_GB2312"/>
                <w:sz w:val="24"/>
              </w:rPr>
            </w:pPr>
            <w:r>
              <w:rPr>
                <w:rFonts w:hint="eastAsia" w:ascii="仿宋_GB2312" w:eastAsia="仿宋_GB2312"/>
                <w:sz w:val="24"/>
              </w:rPr>
              <w:t>SZJG 52-2016</w:t>
            </w:r>
          </w:p>
          <w:p>
            <w:pPr>
              <w:spacing w:line="400" w:lineRule="exact"/>
              <w:jc w:val="center"/>
              <w:rPr>
                <w:rFonts w:ascii="仿宋_GB2312" w:hAnsi="宋体" w:eastAsia="仿宋_GB2312"/>
                <w:sz w:val="24"/>
              </w:rPr>
            </w:pPr>
            <w:r>
              <w:rPr>
                <w:rFonts w:hint="eastAsia" w:ascii="仿宋_GB2312" w:eastAsia="仿宋_GB2312"/>
                <w:sz w:val="24"/>
              </w:rPr>
              <w:t>GB/T 31106-2014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3" w:type="dxa"/>
            <w:noWrap w:val="0"/>
            <w:vAlign w:val="center"/>
          </w:tcPr>
          <w:p>
            <w:pPr>
              <w:pStyle w:val="7"/>
              <w:widowControl w:val="0"/>
              <w:adjustRightInd w:val="0"/>
              <w:snapToGrid w:val="0"/>
              <w:ind w:firstLine="0" w:firstLineChars="0"/>
              <w:jc w:val="center"/>
              <w:rPr>
                <w:rFonts w:ascii="仿宋_GB2312" w:hAnsi="宋体" w:eastAsia="仿宋_GB2312"/>
                <w:sz w:val="24"/>
                <w:szCs w:val="24"/>
              </w:rPr>
            </w:pPr>
            <w:r>
              <w:rPr>
                <w:rFonts w:hint="eastAsia" w:ascii="仿宋_GB2312" w:hAnsi="宋体" w:eastAsia="仿宋_GB2312"/>
                <w:sz w:val="24"/>
                <w:szCs w:val="24"/>
              </w:rPr>
              <w:t>5</w:t>
            </w:r>
          </w:p>
        </w:tc>
        <w:tc>
          <w:tcPr>
            <w:tcW w:w="2760"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总挥发性有机化合物（TVOC）释放量</w:t>
            </w:r>
          </w:p>
        </w:tc>
        <w:tc>
          <w:tcPr>
            <w:tcW w:w="1959" w:type="dxa"/>
            <w:noWrap w:val="0"/>
            <w:vAlign w:val="center"/>
          </w:tcPr>
          <w:p>
            <w:pPr>
              <w:spacing w:line="400" w:lineRule="exact"/>
              <w:jc w:val="center"/>
              <w:rPr>
                <w:rFonts w:ascii="仿宋_GB2312" w:hAnsi="宋体" w:eastAsia="仿宋_GB2312"/>
                <w:sz w:val="24"/>
              </w:rPr>
            </w:pPr>
            <w:r>
              <w:rPr>
                <w:rFonts w:hint="eastAsia" w:ascii="仿宋_GB2312" w:eastAsia="仿宋_GB2312"/>
                <w:sz w:val="24"/>
              </w:rPr>
              <w:t>SZJG 52-2016 4.1</w:t>
            </w:r>
          </w:p>
        </w:tc>
        <w:tc>
          <w:tcPr>
            <w:tcW w:w="1275" w:type="dxa"/>
            <w:noWrap w:val="0"/>
            <w:vAlign w:val="center"/>
          </w:tcPr>
          <w:p>
            <w:pPr>
              <w:spacing w:line="400" w:lineRule="exact"/>
              <w:jc w:val="center"/>
              <w:rPr>
                <w:rFonts w:ascii="仿宋_GB2312" w:eastAsia="仿宋_GB2312"/>
                <w:sz w:val="24"/>
              </w:rPr>
            </w:pPr>
            <w:r>
              <w:rPr>
                <w:rFonts w:hint="eastAsia" w:ascii="仿宋_GB2312" w:hAnsi="宋体" w:eastAsia="仿宋_GB2312"/>
                <w:sz w:val="24"/>
              </w:rPr>
              <w:t>强制性</w:t>
            </w:r>
          </w:p>
        </w:tc>
        <w:tc>
          <w:tcPr>
            <w:tcW w:w="2083" w:type="dxa"/>
            <w:noWrap w:val="0"/>
            <w:vAlign w:val="center"/>
          </w:tcPr>
          <w:p>
            <w:pPr>
              <w:spacing w:line="400" w:lineRule="exact"/>
              <w:jc w:val="center"/>
              <w:rPr>
                <w:rFonts w:ascii="仿宋_GB2312" w:eastAsia="仿宋_GB2312"/>
                <w:sz w:val="24"/>
              </w:rPr>
            </w:pPr>
            <w:r>
              <w:rPr>
                <w:rFonts w:hint="eastAsia" w:ascii="仿宋_GB2312" w:eastAsia="仿宋_GB2312"/>
                <w:sz w:val="24"/>
              </w:rPr>
              <w:t>SZJG 52-2016</w:t>
            </w:r>
          </w:p>
          <w:p>
            <w:pPr>
              <w:spacing w:line="400" w:lineRule="exact"/>
              <w:jc w:val="center"/>
              <w:rPr>
                <w:rFonts w:ascii="仿宋_GB2312" w:hAnsi="宋体" w:eastAsia="仿宋_GB2312"/>
                <w:sz w:val="24"/>
              </w:rPr>
            </w:pPr>
            <w:r>
              <w:rPr>
                <w:rFonts w:hint="eastAsia" w:ascii="仿宋_GB2312" w:eastAsia="仿宋_GB2312"/>
                <w:sz w:val="24"/>
              </w:rPr>
              <w:t>GB/T 31106-2014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3" w:type="dxa"/>
            <w:noWrap w:val="0"/>
            <w:vAlign w:val="center"/>
          </w:tcPr>
          <w:p>
            <w:pPr>
              <w:pStyle w:val="7"/>
              <w:widowControl w:val="0"/>
              <w:adjustRightInd w:val="0"/>
              <w:snapToGrid w:val="0"/>
              <w:ind w:firstLine="0" w:firstLineChars="0"/>
              <w:jc w:val="center"/>
              <w:rPr>
                <w:rFonts w:ascii="仿宋_GB2312" w:hAnsi="宋体" w:eastAsia="仿宋_GB2312"/>
                <w:sz w:val="24"/>
                <w:szCs w:val="24"/>
              </w:rPr>
            </w:pPr>
            <w:r>
              <w:rPr>
                <w:rFonts w:hint="eastAsia" w:ascii="仿宋_GB2312" w:hAnsi="宋体" w:eastAsia="仿宋_GB2312"/>
                <w:sz w:val="24"/>
                <w:szCs w:val="24"/>
              </w:rPr>
              <w:t>6</w:t>
            </w:r>
          </w:p>
        </w:tc>
        <w:tc>
          <w:tcPr>
            <w:tcW w:w="2760"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表面涂层可迁移元素</w:t>
            </w:r>
          </w:p>
        </w:tc>
        <w:tc>
          <w:tcPr>
            <w:tcW w:w="1959" w:type="dxa"/>
            <w:noWrap w:val="0"/>
            <w:vAlign w:val="center"/>
          </w:tcPr>
          <w:p>
            <w:pPr>
              <w:spacing w:line="400" w:lineRule="exact"/>
              <w:jc w:val="center"/>
              <w:rPr>
                <w:rFonts w:ascii="仿宋_GB2312" w:hAnsi="宋体" w:eastAsia="仿宋_GB2312"/>
                <w:sz w:val="24"/>
              </w:rPr>
            </w:pPr>
            <w:r>
              <w:rPr>
                <w:rFonts w:hint="eastAsia" w:ascii="仿宋_GB2312" w:eastAsia="仿宋_GB2312"/>
                <w:sz w:val="24"/>
              </w:rPr>
              <w:t>SZJG 52-2016 4.1</w:t>
            </w:r>
          </w:p>
        </w:tc>
        <w:tc>
          <w:tcPr>
            <w:tcW w:w="1275" w:type="dxa"/>
            <w:noWrap w:val="0"/>
            <w:vAlign w:val="center"/>
          </w:tcPr>
          <w:p>
            <w:pPr>
              <w:spacing w:line="400" w:lineRule="exact"/>
              <w:jc w:val="center"/>
              <w:rPr>
                <w:rFonts w:ascii="仿宋_GB2312" w:eastAsia="仿宋_GB2312"/>
                <w:sz w:val="24"/>
              </w:rPr>
            </w:pPr>
            <w:r>
              <w:rPr>
                <w:rFonts w:hint="eastAsia" w:ascii="仿宋_GB2312" w:hAnsi="宋体" w:eastAsia="仿宋_GB2312"/>
                <w:sz w:val="24"/>
              </w:rPr>
              <w:t>强制性</w:t>
            </w:r>
          </w:p>
        </w:tc>
        <w:tc>
          <w:tcPr>
            <w:tcW w:w="2083" w:type="dxa"/>
            <w:noWrap w:val="0"/>
            <w:vAlign w:val="center"/>
          </w:tcPr>
          <w:p>
            <w:pPr>
              <w:spacing w:line="400" w:lineRule="exact"/>
              <w:jc w:val="center"/>
              <w:rPr>
                <w:rFonts w:ascii="仿宋_GB2312" w:hAnsi="宋体" w:eastAsia="仿宋_GB2312"/>
                <w:sz w:val="24"/>
              </w:rPr>
            </w:pPr>
            <w:r>
              <w:rPr>
                <w:rFonts w:hint="eastAsia" w:ascii="仿宋_GB2312" w:eastAsia="仿宋_GB2312"/>
                <w:sz w:val="24"/>
              </w:rPr>
              <w:t>GB 6675.4-2014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snapToGrid w:val="0"/>
        <w:spacing w:line="360" w:lineRule="auto"/>
        <w:rPr>
          <w:rFonts w:ascii="仿宋_GB2312" w:hAnsi="宋体" w:eastAsia="仿宋_GB2312"/>
          <w:b/>
          <w:sz w:val="32"/>
          <w:szCs w:val="28"/>
        </w:rPr>
      </w:pPr>
      <w:r>
        <w:rPr>
          <w:rFonts w:hint="eastAsia" w:ascii="仿宋_GB2312" w:hAnsi="Calibri" w:eastAsia="仿宋_GB2312" w:cs="Sim Sun"/>
          <w:b/>
          <w:kern w:val="0"/>
          <w:sz w:val="32"/>
          <w:szCs w:val="28"/>
        </w:rPr>
        <w:t>6.</w:t>
      </w:r>
      <w:r>
        <w:rPr>
          <w:rFonts w:ascii="仿宋_GB2312" w:hAnsi="Calibri" w:eastAsia="仿宋_GB2312" w:cs="Sim Sun"/>
          <w:b/>
          <w:kern w:val="0"/>
          <w:sz w:val="32"/>
          <w:szCs w:val="28"/>
        </w:rPr>
        <w:t>2</w:t>
      </w:r>
      <w:r>
        <w:rPr>
          <w:rFonts w:hint="eastAsia" w:ascii="仿宋_GB2312" w:hAnsi="Calibri" w:eastAsia="仿宋_GB2312" w:cs="Sim Sun"/>
          <w:b/>
          <w:kern w:val="0"/>
          <w:sz w:val="32"/>
          <w:szCs w:val="28"/>
        </w:rPr>
        <w:t xml:space="preserve"> 检验应注意的问题</w:t>
      </w:r>
    </w:p>
    <w:p>
      <w:pPr>
        <w:snapToGrid w:val="0"/>
        <w:spacing w:line="360" w:lineRule="auto"/>
        <w:rPr>
          <w:rFonts w:ascii="仿宋_GB2312" w:hAnsi="宋体" w:eastAsia="仿宋_GB2312"/>
          <w:iCs/>
          <w:sz w:val="32"/>
          <w:szCs w:val="28"/>
        </w:rPr>
      </w:pPr>
      <w:r>
        <w:rPr>
          <w:rFonts w:hint="eastAsia" w:ascii="仿宋_GB2312" w:hAnsi="Calibri" w:eastAsia="仿宋_GB2312" w:cs="Sim Sun"/>
          <w:b/>
          <w:kern w:val="0"/>
          <w:sz w:val="32"/>
          <w:szCs w:val="28"/>
        </w:rPr>
        <w:t>6.</w:t>
      </w:r>
      <w:r>
        <w:rPr>
          <w:rFonts w:ascii="仿宋_GB2312" w:hAnsi="Calibri" w:eastAsia="仿宋_GB2312" w:cs="Sim Sun"/>
          <w:b/>
          <w:kern w:val="0"/>
          <w:sz w:val="32"/>
          <w:szCs w:val="28"/>
        </w:rPr>
        <w:t>2</w:t>
      </w:r>
      <w:r>
        <w:rPr>
          <w:rFonts w:hint="eastAsia" w:ascii="仿宋_GB2312" w:hAnsi="Calibri" w:eastAsia="仿宋_GB2312" w:cs="Sim Sun"/>
          <w:b/>
          <w:kern w:val="0"/>
          <w:sz w:val="32"/>
          <w:szCs w:val="28"/>
        </w:rPr>
        <w:t>.1</w:t>
      </w:r>
      <w:r>
        <w:rPr>
          <w:rFonts w:hint="eastAsia" w:ascii="仿宋_GB2312" w:hAnsi="Calibri" w:eastAsia="仿宋_GB2312" w:cs="Sim Sun"/>
          <w:kern w:val="0"/>
          <w:sz w:val="32"/>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32"/>
          <w:szCs w:val="28"/>
        </w:rPr>
        <w:t>备用</w:t>
      </w:r>
      <w:r>
        <w:rPr>
          <w:rFonts w:hint="eastAsia" w:ascii="仿宋_GB2312" w:hAnsi="宋体" w:eastAsia="仿宋_GB2312"/>
          <w:iCs/>
          <w:sz w:val="32"/>
          <w:szCs w:val="28"/>
        </w:rPr>
        <w:t>样品应该贮存在阴凉、干燥、安全、避光处，在整个保存期间应保证签封完整无损。</w:t>
      </w:r>
    </w:p>
    <w:p>
      <w:pPr>
        <w:snapToGrid w:val="0"/>
        <w:spacing w:line="360" w:lineRule="auto"/>
        <w:rPr>
          <w:rFonts w:ascii="仿宋_GB2312" w:eastAsia="仿宋_GB2312" w:cs="Sim Sun"/>
          <w:kern w:val="0"/>
          <w:sz w:val="32"/>
          <w:szCs w:val="28"/>
        </w:rPr>
      </w:pPr>
      <w:r>
        <w:rPr>
          <w:rFonts w:hint="eastAsia" w:ascii="仿宋_GB2312" w:eastAsia="仿宋_GB2312" w:cs="Sim Sun"/>
          <w:b/>
          <w:kern w:val="0"/>
          <w:sz w:val="32"/>
          <w:szCs w:val="28"/>
        </w:rPr>
        <w:t>6.2.2</w:t>
      </w:r>
      <w:r>
        <w:rPr>
          <w:rFonts w:hint="eastAsia" w:ascii="仿宋_GB2312" w:eastAsia="仿宋_GB2312" w:cs="Sim Sun"/>
          <w:kern w:val="0"/>
          <w:sz w:val="32"/>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32"/>
          <w:szCs w:val="28"/>
        </w:rPr>
      </w:pPr>
      <w:r>
        <w:rPr>
          <w:rFonts w:hint="eastAsia" w:ascii="仿宋_GB2312" w:eastAsia="仿宋_GB2312" w:cs="Sim Sun"/>
          <w:b/>
          <w:kern w:val="0"/>
          <w:sz w:val="32"/>
          <w:szCs w:val="28"/>
        </w:rPr>
        <w:t>6.2.3</w:t>
      </w:r>
      <w:r>
        <w:rPr>
          <w:rFonts w:hint="eastAsia" w:ascii="仿宋_GB2312" w:eastAsia="仿宋_GB2312" w:cs="Sim Sun"/>
          <w:kern w:val="0"/>
          <w:sz w:val="32"/>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32"/>
          <w:szCs w:val="28"/>
        </w:rPr>
      </w:pPr>
      <w:r>
        <w:rPr>
          <w:rFonts w:hint="eastAsia" w:ascii="仿宋_GB2312" w:hAnsi="Calibri" w:eastAsia="仿宋_GB2312" w:cs="Sim Sun"/>
          <w:b/>
          <w:kern w:val="0"/>
          <w:sz w:val="32"/>
          <w:szCs w:val="28"/>
        </w:rPr>
        <w:t>7 判定原则</w:t>
      </w:r>
    </w:p>
    <w:p>
      <w:pPr>
        <w:snapToGrid w:val="0"/>
        <w:spacing w:line="360" w:lineRule="auto"/>
        <w:ind w:firstLine="640" w:firstLineChars="200"/>
        <w:rPr>
          <w:rFonts w:ascii="仿宋_GB2312" w:eastAsia="仿宋_GB2312" w:cs="Sim Sun"/>
          <w:kern w:val="0"/>
          <w:sz w:val="32"/>
          <w:szCs w:val="28"/>
        </w:rPr>
      </w:pPr>
      <w:r>
        <w:rPr>
          <w:rFonts w:hint="eastAsia" w:ascii="仿宋_GB2312" w:eastAsia="仿宋_GB2312" w:cs="Sim Sun"/>
          <w:kern w:val="0"/>
          <w:sz w:val="32"/>
          <w:szCs w:val="28"/>
        </w:rPr>
        <w:t>经检验，所检样品全部项目合格，判该产品本次监督抽查结果合格；出现一项或一项以上</w:t>
      </w:r>
      <w:r>
        <w:rPr>
          <w:rFonts w:hint="eastAsia" w:ascii="仿宋_GB2312" w:hAnsi="宋体" w:eastAsia="仿宋_GB2312"/>
          <w:sz w:val="32"/>
          <w:szCs w:val="28"/>
        </w:rPr>
        <w:t>项目</w:t>
      </w:r>
      <w:r>
        <w:rPr>
          <w:rFonts w:hint="eastAsia" w:ascii="仿宋_GB2312" w:eastAsia="仿宋_GB2312" w:cs="Sim Sun"/>
          <w:kern w:val="0"/>
          <w:sz w:val="32"/>
          <w:szCs w:val="28"/>
        </w:rPr>
        <w:t>不合格，判该产品本次监督检验结果不合格。</w:t>
      </w:r>
    </w:p>
    <w:p>
      <w:pPr>
        <w:snapToGrid w:val="0"/>
        <w:spacing w:line="360" w:lineRule="auto"/>
        <w:rPr>
          <w:rFonts w:ascii="仿宋_GB2312" w:hAnsi="Calibri" w:eastAsia="仿宋_GB2312" w:cs="Sim Sun"/>
          <w:b/>
          <w:kern w:val="0"/>
          <w:sz w:val="32"/>
          <w:szCs w:val="28"/>
        </w:rPr>
      </w:pPr>
      <w:r>
        <w:rPr>
          <w:rFonts w:hint="eastAsia" w:ascii="仿宋_GB2312" w:hAnsi="Calibri" w:eastAsia="仿宋_GB2312" w:cs="Sim Sun"/>
          <w:b/>
          <w:kern w:val="0"/>
          <w:sz w:val="32"/>
          <w:szCs w:val="28"/>
        </w:rPr>
        <w:t>8 异议处理复检</w:t>
      </w:r>
    </w:p>
    <w:p>
      <w:pPr>
        <w:snapToGrid w:val="0"/>
        <w:spacing w:line="360" w:lineRule="auto"/>
        <w:rPr>
          <w:rFonts w:ascii="仿宋_GB2312" w:eastAsia="仿宋_GB2312" w:cs="Sim Sun"/>
          <w:iCs/>
          <w:kern w:val="0"/>
          <w:sz w:val="32"/>
          <w:szCs w:val="28"/>
        </w:rPr>
      </w:pPr>
      <w:r>
        <w:rPr>
          <w:rFonts w:ascii="仿宋_GB2312" w:eastAsia="仿宋_GB2312" w:cs="Sim Sun"/>
          <w:b/>
          <w:iCs/>
          <w:kern w:val="0"/>
          <w:sz w:val="32"/>
          <w:szCs w:val="28"/>
        </w:rPr>
        <w:t>8</w:t>
      </w:r>
      <w:r>
        <w:rPr>
          <w:rFonts w:hint="eastAsia" w:ascii="仿宋_GB2312" w:eastAsia="仿宋_GB2312" w:cs="Sim Sun"/>
          <w:b/>
          <w:iCs/>
          <w:kern w:val="0"/>
          <w:sz w:val="32"/>
          <w:szCs w:val="28"/>
        </w:rPr>
        <w:t>.1</w:t>
      </w:r>
      <w:r>
        <w:rPr>
          <w:rFonts w:hint="eastAsia" w:ascii="仿宋_GB2312" w:eastAsia="仿宋_GB2312" w:cs="Sim Sun"/>
          <w:iCs/>
          <w:kern w:val="0"/>
          <w:sz w:val="32"/>
          <w:szCs w:val="28"/>
        </w:rPr>
        <w:t>被抽查企业在收到检验结果，对结果有异议时，</w:t>
      </w:r>
      <w:r>
        <w:rPr>
          <w:rFonts w:ascii="仿宋_GB2312" w:eastAsia="仿宋_GB2312" w:cs="Sim Sun"/>
          <w:iCs/>
          <w:kern w:val="0"/>
          <w:sz w:val="32"/>
          <w:szCs w:val="28"/>
        </w:rPr>
        <w:t>可以自收到检验结果之日起15日内向</w:t>
      </w:r>
      <w:r>
        <w:rPr>
          <w:rFonts w:hint="eastAsia" w:ascii="仿宋_GB2312" w:eastAsia="仿宋_GB2312" w:cs="Sim Sun"/>
          <w:iCs/>
          <w:kern w:val="0"/>
          <w:sz w:val="32"/>
          <w:szCs w:val="28"/>
        </w:rPr>
        <w:t>深圳市市场监督管理局</w:t>
      </w:r>
      <w:r>
        <w:rPr>
          <w:rFonts w:ascii="仿宋_GB2312" w:eastAsia="仿宋_GB2312" w:cs="Sim Sun"/>
          <w:iCs/>
          <w:kern w:val="0"/>
          <w:sz w:val="32"/>
          <w:szCs w:val="28"/>
        </w:rPr>
        <w:t>提出书面复检申请。逾期未提出异议的，视为承认检验结果。</w:t>
      </w:r>
    </w:p>
    <w:p>
      <w:pPr>
        <w:snapToGrid w:val="0"/>
        <w:spacing w:line="360" w:lineRule="auto"/>
        <w:rPr>
          <w:rFonts w:ascii="仿宋_GB2312" w:eastAsia="仿宋_GB2312" w:cs="Sim Sun"/>
          <w:iCs/>
          <w:kern w:val="0"/>
          <w:sz w:val="32"/>
          <w:szCs w:val="28"/>
        </w:rPr>
      </w:pPr>
      <w:r>
        <w:rPr>
          <w:rFonts w:ascii="仿宋_GB2312" w:eastAsia="仿宋_GB2312" w:cs="Sim Sun"/>
          <w:b/>
          <w:iCs/>
          <w:kern w:val="0"/>
          <w:sz w:val="32"/>
          <w:szCs w:val="28"/>
        </w:rPr>
        <w:t>8</w:t>
      </w:r>
      <w:r>
        <w:rPr>
          <w:rFonts w:hint="eastAsia" w:ascii="仿宋_GB2312" w:eastAsia="仿宋_GB2312" w:cs="Sim Sun"/>
          <w:b/>
          <w:iCs/>
          <w:kern w:val="0"/>
          <w:sz w:val="32"/>
          <w:szCs w:val="28"/>
        </w:rPr>
        <w:t>.2</w:t>
      </w:r>
      <w:r>
        <w:rPr>
          <w:rFonts w:ascii="仿宋_GB2312" w:eastAsia="仿宋_GB2312" w:cs="Sim Sun"/>
          <w:iCs/>
          <w:kern w:val="0"/>
          <w:sz w:val="32"/>
          <w:szCs w:val="28"/>
        </w:rPr>
        <w:t>检验机构</w:t>
      </w:r>
      <w:r>
        <w:rPr>
          <w:rFonts w:hint="eastAsia" w:ascii="仿宋_GB2312" w:eastAsia="仿宋_GB2312" w:cs="Sim Sun"/>
          <w:iCs/>
          <w:kern w:val="0"/>
          <w:sz w:val="32"/>
          <w:szCs w:val="28"/>
        </w:rPr>
        <w:t>接到深圳市市场监督管理局的复检通知后</w:t>
      </w:r>
      <w:r>
        <w:rPr>
          <w:rFonts w:ascii="仿宋_GB2312" w:eastAsia="仿宋_GB2312" w:cs="Sim Sun"/>
          <w:iCs/>
          <w:kern w:val="0"/>
          <w:sz w:val="32"/>
          <w:szCs w:val="28"/>
        </w:rPr>
        <w:t>应当按原监督抽查方案</w:t>
      </w:r>
      <w:r>
        <w:rPr>
          <w:rFonts w:hint="eastAsia" w:ascii="仿宋_GB2312" w:eastAsia="仿宋_GB2312" w:cs="Sim Sun"/>
          <w:iCs/>
          <w:kern w:val="0"/>
          <w:sz w:val="32"/>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32"/>
          <w:szCs w:val="28"/>
        </w:rPr>
        <w:t>的结论。</w:t>
      </w:r>
    </w:p>
    <w:p>
      <w:pPr>
        <w:snapToGrid w:val="0"/>
        <w:spacing w:line="360" w:lineRule="auto"/>
        <w:rPr>
          <w:rFonts w:ascii="仿宋_GB2312" w:eastAsia="仿宋_GB2312" w:cs="Sim Sun"/>
          <w:kern w:val="0"/>
          <w:sz w:val="32"/>
          <w:szCs w:val="28"/>
        </w:rPr>
      </w:pPr>
      <w:r>
        <w:rPr>
          <w:rFonts w:hint="eastAsia" w:ascii="仿宋_GB2312" w:eastAsia="仿宋_GB2312" w:cs="Sim Sun"/>
          <w:b/>
          <w:kern w:val="0"/>
          <w:sz w:val="32"/>
          <w:szCs w:val="28"/>
        </w:rPr>
        <w:t>8.</w:t>
      </w:r>
      <w:r>
        <w:rPr>
          <w:rFonts w:ascii="仿宋_GB2312" w:eastAsia="仿宋_GB2312" w:cs="Sim Sun"/>
          <w:b/>
          <w:kern w:val="0"/>
          <w:sz w:val="32"/>
          <w:szCs w:val="28"/>
        </w:rPr>
        <w:t>3</w:t>
      </w:r>
      <w:r>
        <w:rPr>
          <w:rFonts w:ascii="仿宋_GB2312" w:eastAsia="仿宋_GB2312" w:cs="Sim Sun"/>
          <w:iCs/>
          <w:kern w:val="0"/>
          <w:sz w:val="32"/>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kern w:val="0"/>
          <w:sz w:val="32"/>
          <w:szCs w:val="28"/>
        </w:rPr>
      </w:pPr>
      <w:r>
        <w:rPr>
          <w:rFonts w:hint="eastAsia" w:ascii="仿宋_GB2312" w:eastAsia="仿宋_GB2312" w:cs="Sim Sun"/>
          <w:kern w:val="0"/>
          <w:sz w:val="32"/>
          <w:szCs w:val="28"/>
        </w:rPr>
        <w:t>8.4若复检机构与初检机构为同一家机构，则复检检验人员与初检检验人员不得为同一人（含审核人员）。</w:t>
      </w:r>
    </w:p>
    <w:p>
      <w:pPr>
        <w:snapToGrid w:val="0"/>
        <w:spacing w:line="360" w:lineRule="auto"/>
        <w:rPr>
          <w:rFonts w:ascii="仿宋_GB2312" w:eastAsia="仿宋_GB2312" w:cs="Sim Sun"/>
          <w:kern w:val="0"/>
          <w:sz w:val="32"/>
          <w:szCs w:val="28"/>
        </w:rPr>
      </w:pPr>
      <w:r>
        <w:rPr>
          <w:rFonts w:hint="eastAsia" w:ascii="仿宋_GB2312" w:eastAsia="仿宋_GB2312" w:cs="Sim Sun"/>
          <w:kern w:val="0"/>
          <w:sz w:val="32"/>
          <w:szCs w:val="28"/>
        </w:rPr>
        <w:t>8.5需对不合格项目复检时，按6.1选择复检样品。</w:t>
      </w:r>
    </w:p>
    <w:p>
      <w:pPr>
        <w:snapToGrid w:val="0"/>
        <w:spacing w:line="360" w:lineRule="auto"/>
        <w:rPr>
          <w:rFonts w:ascii="仿宋_GB2312" w:eastAsia="仿宋_GB2312" w:cs="Sim Sun"/>
          <w:kern w:val="0"/>
          <w:sz w:val="32"/>
          <w:szCs w:val="28"/>
        </w:rPr>
      </w:pPr>
      <w:r>
        <w:rPr>
          <w:rFonts w:hint="eastAsia" w:ascii="仿宋_GB2312" w:eastAsia="仿宋_GB2312" w:cs="Sim Sun"/>
          <w:kern w:val="0"/>
          <w:sz w:val="32"/>
          <w:szCs w:val="28"/>
        </w:rPr>
        <w:t>8.6深圳市市场监督管理局根据初检、复验结果及企业提交的证明材料，做出复检结论，复检结论为最终结论。</w:t>
      </w:r>
    </w:p>
    <w:p>
      <w:pPr>
        <w:snapToGrid w:val="0"/>
        <w:spacing w:line="360" w:lineRule="auto"/>
        <w:rPr>
          <w:rFonts w:ascii="仿宋_GB2312" w:hAnsi="宋体" w:eastAsia="仿宋_GB2312"/>
          <w:sz w:val="32"/>
          <w:szCs w:val="28"/>
        </w:rPr>
      </w:pPr>
      <w:r>
        <w:rPr>
          <w:rFonts w:ascii="仿宋_GB2312" w:hAnsi="宋体" w:eastAsia="仿宋_GB2312"/>
          <w:sz w:val="32"/>
          <w:szCs w:val="28"/>
        </w:rPr>
        <w:t>9</w:t>
      </w:r>
      <w:r>
        <w:rPr>
          <w:rFonts w:hint="eastAsia" w:ascii="仿宋_GB2312" w:hAnsi="宋体" w:eastAsia="仿宋_GB2312"/>
          <w:sz w:val="32"/>
          <w:szCs w:val="28"/>
        </w:rPr>
        <w:t xml:space="preserve"> 附则</w:t>
      </w:r>
    </w:p>
    <w:p>
      <w:pPr>
        <w:snapToGrid w:val="0"/>
        <w:spacing w:line="360" w:lineRule="auto"/>
        <w:ind w:firstLine="614" w:firstLineChars="192"/>
        <w:rPr>
          <w:rFonts w:ascii="仿宋_GB2312" w:hAnsi="宋体" w:eastAsia="仿宋_GB2312"/>
          <w:sz w:val="32"/>
          <w:szCs w:val="28"/>
        </w:rPr>
      </w:pPr>
      <w:r>
        <w:rPr>
          <w:rFonts w:hint="eastAsia" w:ascii="仿宋_GB2312" w:hAnsi="宋体" w:eastAsia="仿宋_GB2312"/>
          <w:sz w:val="32"/>
          <w:szCs w:val="28"/>
        </w:rPr>
        <w:t>本规范编制单位：</w:t>
      </w:r>
      <w:r>
        <w:rPr>
          <w:rFonts w:hint="eastAsia" w:ascii="仿宋_GB2312" w:eastAsia="仿宋_GB2312"/>
          <w:sz w:val="32"/>
          <w:szCs w:val="28"/>
        </w:rPr>
        <w:t>深圳市计量质量检测研究院</w:t>
      </w:r>
      <w:r>
        <w:rPr>
          <w:rFonts w:hint="eastAsia" w:ascii="仿宋_GB2312" w:hAnsi="宋体" w:eastAsia="仿宋_GB2312"/>
          <w:sz w:val="32"/>
          <w:szCs w:val="28"/>
        </w:rPr>
        <w:t>。</w:t>
      </w:r>
    </w:p>
    <w:p>
      <w:pPr>
        <w:ind w:firstLine="640" w:firstLineChars="200"/>
      </w:pPr>
      <w:bookmarkStart w:id="0" w:name="_GoBack"/>
      <w:bookmarkEnd w:id="0"/>
      <w:r>
        <w:rPr>
          <w:rFonts w:hint="eastAsia" w:ascii="仿宋_GB2312" w:hAnsi="宋体" w:eastAsia="仿宋_GB2312"/>
          <w:sz w:val="32"/>
          <w:szCs w:val="28"/>
        </w:rPr>
        <w:t>本规范由</w:t>
      </w:r>
      <w:r>
        <w:rPr>
          <w:rFonts w:hint="eastAsia" w:ascii="仿宋_GB2312" w:hAnsi="宋体" w:eastAsia="仿宋_GB2312"/>
          <w:iCs/>
          <w:sz w:val="32"/>
          <w:szCs w:val="28"/>
        </w:rPr>
        <w:t>深圳市市场监督管理局质量处</w:t>
      </w:r>
      <w:r>
        <w:rPr>
          <w:rFonts w:hint="eastAsia" w:ascii="仿宋_GB2312" w:hAnsi="宋体" w:eastAsia="仿宋_GB2312"/>
          <w:sz w:val="32"/>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3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2020-05-28T08:44:44Z</dcterms:created>
  <dc:creator>changmy</dc:creator>
  <cp:lastModifiedBy>常孟园</cp:lastModifiedBy>
  <dcterms:modified xsi:type="dcterms:W3CDTF">2020-05-28T08:45:03Z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