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黑体" w:hAnsi="黑体" w:eastAsia="黑体"/>
          <w:b w:val="0"/>
          <w:bCs w:val="0"/>
        </w:rPr>
      </w:pPr>
      <w:r>
        <w:rPr>
          <w:rFonts w:hint="eastAsia" w:ascii="黑体" w:hAnsi="黑体" w:eastAsia="黑体"/>
          <w:b w:val="0"/>
          <w:bCs w:val="0"/>
        </w:rPr>
        <w:t>附件3</w:t>
      </w:r>
    </w:p>
    <w:p>
      <w:pPr>
        <w:spacing w:line="360" w:lineRule="auto"/>
        <w:jc w:val="center"/>
        <w:rPr>
          <w:rFonts w:ascii="方正小标宋简体" w:hAnsi="宋体" w:eastAsia="方正小标宋简体"/>
          <w:sz w:val="36"/>
        </w:rPr>
      </w:pPr>
      <w:r>
        <w:rPr>
          <w:rFonts w:hint="eastAsia" w:ascii="方正小标宋简体" w:hAnsi="宋体" w:eastAsia="方正小标宋简体"/>
          <w:sz w:val="36"/>
        </w:rPr>
        <w:t>深圳市市场监督管理局深汕特别合作区</w:t>
      </w:r>
    </w:p>
    <w:p>
      <w:pPr>
        <w:spacing w:line="360" w:lineRule="auto"/>
        <w:jc w:val="center"/>
        <w:rPr>
          <w:rFonts w:ascii="方正小标宋简体" w:hAnsi="宋体" w:eastAsia="方正小标宋简体"/>
          <w:sz w:val="36"/>
        </w:rPr>
      </w:pPr>
      <w:r>
        <w:rPr>
          <w:rFonts w:hint="eastAsia" w:ascii="方正小标宋简体" w:hAnsi="宋体" w:eastAsia="方正小标宋简体"/>
          <w:sz w:val="36"/>
        </w:rPr>
        <w:t>电动自行车用蓄电池及其充电器产品质量监督抽查</w:t>
      </w:r>
    </w:p>
    <w:p>
      <w:pPr>
        <w:spacing w:line="360" w:lineRule="auto"/>
        <w:jc w:val="center"/>
        <w:rPr>
          <w:rFonts w:ascii="方正小标宋简体" w:hAnsi="宋体" w:eastAsia="方正小标宋简体"/>
          <w:sz w:val="36"/>
        </w:rPr>
      </w:pPr>
      <w:r>
        <w:rPr>
          <w:rFonts w:hint="eastAsia" w:ascii="方正小标宋简体" w:hAnsi="宋体" w:eastAsia="方正小标宋简体"/>
          <w:sz w:val="36"/>
        </w:rPr>
        <w:t>实施规范</w:t>
      </w:r>
    </w:p>
    <w:p>
      <w:pPr>
        <w:snapToGrid w:val="0"/>
        <w:spacing w:line="540" w:lineRule="exact"/>
        <w:jc w:val="center"/>
        <w:rPr>
          <w:rFonts w:ascii="黑体" w:hAnsi="宋体" w:eastAsia="黑体"/>
          <w:sz w:val="28"/>
          <w:szCs w:val="28"/>
        </w:rPr>
      </w:pPr>
      <w:r>
        <w:rPr>
          <w:rFonts w:hint="eastAsia" w:ascii="黑体" w:hAnsi="宋体" w:eastAsia="黑体"/>
          <w:sz w:val="28"/>
          <w:szCs w:val="28"/>
        </w:rPr>
        <w:t>CCGF-SZ-</w:t>
      </w:r>
      <w:r>
        <w:rPr>
          <w:rFonts w:ascii="黑体" w:hAnsi="宋体" w:eastAsia="黑体"/>
          <w:sz w:val="28"/>
          <w:szCs w:val="28"/>
        </w:rPr>
        <w:t>174</w:t>
      </w:r>
      <w:r>
        <w:rPr>
          <w:rFonts w:hint="eastAsia" w:ascii="黑体" w:hAnsi="宋体" w:eastAsia="黑体"/>
          <w:sz w:val="28"/>
          <w:szCs w:val="28"/>
        </w:rPr>
        <w:t>-</w:t>
      </w:r>
      <w:r>
        <w:rPr>
          <w:rFonts w:ascii="黑体" w:hAnsi="宋体" w:eastAsia="黑体"/>
          <w:sz w:val="28"/>
          <w:szCs w:val="28"/>
        </w:rPr>
        <w:t>2020</w:t>
      </w:r>
    </w:p>
    <w:p>
      <w:pPr>
        <w:pStyle w:val="3"/>
        <w:spacing w:before="0" w:after="0"/>
      </w:pPr>
      <w:r>
        <w:rPr>
          <w:rFonts w:hint="eastAsia"/>
        </w:rPr>
        <w:t>1 适用范围</w:t>
      </w:r>
      <w:bookmarkStart w:id="0" w:name="_GoBack"/>
      <w:bookmarkEnd w:id="0"/>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本实施规范适用于深圳市深汕特别合作区生产及流通领域电动自行车用蓄电池及其充电器产品质量监督抽查。不适用于：非电动自行车用蓄电池、非电动自行车用电池充电器等。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本实施规范内容包括适用范围、产品种类、术语和定义、检验依据、抽样、检验要求，判定原则及异议处理复检。</w:t>
      </w:r>
    </w:p>
    <w:p>
      <w:pPr>
        <w:pStyle w:val="3"/>
        <w:spacing w:before="0" w:after="0"/>
      </w:pPr>
      <w:r>
        <w:rPr>
          <w:rFonts w:hint="eastAsia"/>
        </w:rPr>
        <w:t>2 产品种类</w:t>
      </w:r>
    </w:p>
    <w:p>
      <w:pPr>
        <w:ind w:firstLine="560" w:firstLineChars="200"/>
        <w:rPr>
          <w:rFonts w:ascii="仿宋_GB2312" w:eastAsia="仿宋_GB2312"/>
          <w:sz w:val="28"/>
          <w:szCs w:val="28"/>
        </w:rPr>
      </w:pPr>
      <w:r>
        <w:rPr>
          <w:rFonts w:hint="eastAsia" w:ascii="仿宋_GB2312" w:eastAsia="仿宋_GB2312"/>
          <w:sz w:val="28"/>
          <w:szCs w:val="28"/>
        </w:rPr>
        <w:t>产品种类见表1。</w:t>
      </w:r>
    </w:p>
    <w:p>
      <w:pPr>
        <w:snapToGrid w:val="0"/>
        <w:spacing w:line="360" w:lineRule="auto"/>
        <w:jc w:val="center"/>
        <w:rPr>
          <w:rFonts w:ascii="黑体" w:hAnsi="宋体" w:eastAsia="黑体"/>
          <w:sz w:val="28"/>
          <w:szCs w:val="28"/>
        </w:rPr>
      </w:pPr>
      <w:r>
        <w:rPr>
          <w:rFonts w:hint="eastAsia" w:ascii="黑体" w:hAnsi="宋体" w:eastAsia="黑体"/>
          <w:sz w:val="28"/>
          <w:szCs w:val="28"/>
        </w:rPr>
        <w:t>表1  产品种类</w:t>
      </w:r>
    </w:p>
    <w:tbl>
      <w:tblPr>
        <w:tblStyle w:val="5"/>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blHeader/>
          <w:jc w:val="center"/>
        </w:trPr>
        <w:tc>
          <w:tcPr>
            <w:tcW w:w="2594"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6095"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59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电动自行车用蓄电池</w:t>
            </w:r>
          </w:p>
        </w:tc>
        <w:tc>
          <w:tcPr>
            <w:tcW w:w="6095"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594"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c>
          <w:tcPr>
            <w:tcW w:w="6095"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r>
    </w:tbl>
    <w:p>
      <w:pPr>
        <w:pStyle w:val="3"/>
        <w:spacing w:before="0" w:after="0"/>
      </w:pPr>
      <w:r>
        <w:rPr>
          <w:rFonts w:hint="eastAsia"/>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spacing w:before="156" w:beforeLines="50" w:line="360" w:lineRule="auto"/>
        <w:jc w:val="center"/>
        <w:rPr>
          <w:rFonts w:ascii="黑体" w:hAnsi="宋体" w:eastAsia="黑体"/>
          <w:sz w:val="28"/>
          <w:szCs w:val="28"/>
        </w:rPr>
      </w:pPr>
      <w:r>
        <w:rPr>
          <w:rFonts w:hint="eastAsia" w:ascii="黑体" w:hAnsi="宋体" w:eastAsia="黑体"/>
          <w:sz w:val="28"/>
          <w:szCs w:val="28"/>
        </w:rPr>
        <w:t>表2 术语和定义</w:t>
      </w:r>
    </w:p>
    <w:tbl>
      <w:tblPr>
        <w:tblStyle w:val="5"/>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592"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w:t>
            </w:r>
          </w:p>
        </w:tc>
        <w:tc>
          <w:tcPr>
            <w:tcW w:w="6237" w:type="dxa"/>
            <w:noWrap w:val="0"/>
            <w:vAlign w:val="center"/>
          </w:tcPr>
          <w:p>
            <w:pPr>
              <w:snapToGrid w:val="0"/>
              <w:spacing w:line="300" w:lineRule="exact"/>
              <w:jc w:val="center"/>
              <w:rPr>
                <w:rFonts w:ascii="黑体" w:hAnsi="宋体" w:eastAsia="黑体"/>
                <w:sz w:val="24"/>
              </w:rPr>
            </w:pPr>
            <w:r>
              <w:rPr>
                <w:rFonts w:hint="eastAsia" w:ascii="黑体" w:hAnsi="宋体" w:eastAsia="黑体"/>
                <w:sz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电动自行车用蓄电池</w:t>
            </w:r>
          </w:p>
        </w:tc>
        <w:tc>
          <w:tcPr>
            <w:tcW w:w="6237"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主要功能是为电动自行车提供动力及储能的电池产品，包括铅酸蓄电池、金属氢化物镍蓄电池、锂离子蓄电池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92"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电动自行车用电池充电器</w:t>
            </w:r>
          </w:p>
        </w:tc>
        <w:tc>
          <w:tcPr>
            <w:tcW w:w="6237" w:type="dxa"/>
            <w:noWrap w:val="0"/>
            <w:vAlign w:val="center"/>
          </w:tcPr>
          <w:p>
            <w:pPr>
              <w:autoSpaceDE w:val="0"/>
              <w:autoSpaceDN w:val="0"/>
              <w:adjustRightInd w:val="0"/>
              <w:spacing w:line="300" w:lineRule="exact"/>
              <w:rPr>
                <w:rFonts w:ascii="仿宋_GB2312" w:hAnsi="宋体" w:eastAsia="仿宋_GB2312"/>
                <w:sz w:val="24"/>
              </w:rPr>
            </w:pPr>
            <w:r>
              <w:rPr>
                <w:rFonts w:hint="eastAsia" w:ascii="仿宋_GB2312" w:hAnsi="宋体" w:eastAsia="仿宋_GB2312"/>
                <w:sz w:val="24"/>
              </w:rPr>
              <w:t>主要功能为电动自行车用蓄电池电池充电的充电器</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本规范中未列出的术语和定义同相关引用标准。</w:t>
      </w:r>
    </w:p>
    <w:p>
      <w:pPr>
        <w:pStyle w:val="3"/>
        <w:spacing w:before="0" w:after="0"/>
      </w:pPr>
      <w:r>
        <w:rPr>
          <w:rFonts w:hint="eastAsia"/>
        </w:rPr>
        <w:t>4 检验依据</w:t>
      </w:r>
    </w:p>
    <w:p>
      <w:pPr>
        <w:ind w:firstLine="560" w:firstLineChars="200"/>
        <w:rPr>
          <w:rFonts w:ascii="仿宋_GB2312" w:eastAsia="仿宋_GB2312"/>
          <w:sz w:val="28"/>
          <w:szCs w:val="28"/>
        </w:rPr>
      </w:pPr>
      <w:r>
        <w:rPr>
          <w:rFonts w:hint="eastAsia" w:ascii="仿宋_GB2312" w:eastAsia="仿宋_GB2312"/>
          <w:sz w:val="28"/>
          <w:szCs w:val="28"/>
        </w:rPr>
        <w:t>检验依据见表3。</w:t>
      </w:r>
    </w:p>
    <w:p>
      <w:pPr>
        <w:snapToGrid w:val="0"/>
        <w:spacing w:line="360" w:lineRule="auto"/>
        <w:jc w:val="center"/>
        <w:rPr>
          <w:rFonts w:ascii="黑体" w:hAnsi="宋体" w:eastAsia="黑体"/>
          <w:sz w:val="28"/>
          <w:szCs w:val="28"/>
        </w:rPr>
      </w:pPr>
      <w:r>
        <w:rPr>
          <w:rFonts w:hint="eastAsia" w:ascii="黑体" w:hAnsi="宋体" w:eastAsia="黑体"/>
          <w:sz w:val="28"/>
          <w:szCs w:val="28"/>
        </w:rPr>
        <w:t>表3  检验依据</w:t>
      </w:r>
    </w:p>
    <w:tbl>
      <w:tblPr>
        <w:tblStyle w:val="5"/>
        <w:tblW w:w="10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322"/>
        <w:gridCol w:w="4536"/>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8" w:type="dxa"/>
            <w:noWrap w:val="0"/>
            <w:vAlign w:val="center"/>
          </w:tcPr>
          <w:p>
            <w:pPr>
              <w:spacing w:line="360" w:lineRule="auto"/>
              <w:jc w:val="center"/>
              <w:rPr>
                <w:rFonts w:ascii="黑体" w:hAnsi="宋体" w:eastAsia="黑体"/>
                <w:sz w:val="24"/>
              </w:rPr>
            </w:pPr>
            <w:r>
              <w:rPr>
                <w:rFonts w:hint="eastAsia" w:ascii="黑体" w:hAnsi="宋体" w:eastAsia="黑体"/>
                <w:sz w:val="24"/>
              </w:rPr>
              <w:t>序号</w:t>
            </w:r>
          </w:p>
        </w:tc>
        <w:tc>
          <w:tcPr>
            <w:tcW w:w="2322" w:type="dxa"/>
            <w:noWrap w:val="0"/>
            <w:vAlign w:val="center"/>
          </w:tcPr>
          <w:p>
            <w:pPr>
              <w:spacing w:line="360" w:lineRule="auto"/>
              <w:jc w:val="center"/>
              <w:rPr>
                <w:rFonts w:ascii="黑体" w:hAnsi="宋体" w:eastAsia="黑体"/>
                <w:sz w:val="24"/>
              </w:rPr>
            </w:pPr>
            <w:r>
              <w:rPr>
                <w:rFonts w:hint="eastAsia" w:ascii="黑体" w:hAnsi="宋体" w:eastAsia="黑体"/>
                <w:sz w:val="24"/>
              </w:rPr>
              <w:t>标准号</w:t>
            </w:r>
          </w:p>
        </w:tc>
        <w:tc>
          <w:tcPr>
            <w:tcW w:w="4536" w:type="dxa"/>
            <w:noWrap w:val="0"/>
            <w:vAlign w:val="center"/>
          </w:tcPr>
          <w:p>
            <w:pPr>
              <w:spacing w:line="360" w:lineRule="auto"/>
              <w:jc w:val="center"/>
              <w:rPr>
                <w:rFonts w:ascii="黑体" w:hAnsi="宋体" w:eastAsia="黑体"/>
                <w:sz w:val="24"/>
              </w:rPr>
            </w:pPr>
            <w:r>
              <w:rPr>
                <w:rFonts w:hint="eastAsia" w:ascii="黑体" w:hAnsi="宋体" w:eastAsia="黑体"/>
                <w:sz w:val="24"/>
              </w:rPr>
              <w:t>标准名称</w:t>
            </w:r>
          </w:p>
        </w:tc>
        <w:tc>
          <w:tcPr>
            <w:tcW w:w="2489" w:type="dxa"/>
            <w:noWrap w:val="0"/>
            <w:vAlign w:val="center"/>
          </w:tcPr>
          <w:p>
            <w:pPr>
              <w:spacing w:line="360" w:lineRule="auto"/>
              <w:jc w:val="center"/>
              <w:rPr>
                <w:rFonts w:ascii="黑体" w:hAnsi="宋体" w:eastAsia="黑体"/>
                <w:sz w:val="24"/>
              </w:rPr>
            </w:pPr>
            <w:r>
              <w:rPr>
                <w:rFonts w:hint="eastAsia" w:ascii="黑体" w:hAnsi="宋体" w:eastAsia="黑体"/>
                <w:sz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36972-2018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《电动自行车用锂离子蓄电池》</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30"/>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22199.1-2017</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《电动助力车用阀控式铅酸蓄电池第1部分：技术条件》</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3</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2947.1-2008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第1部分：密封铅酸蓄电池及其充电器》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2947.2-2008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第2部分：金属氢化物镍蓄电池及其充电器》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5</w:t>
            </w:r>
          </w:p>
        </w:tc>
        <w:tc>
          <w:tcPr>
            <w:tcW w:w="232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2947.3-2008</w:t>
            </w:r>
          </w:p>
        </w:tc>
        <w:tc>
          <w:tcPr>
            <w:tcW w:w="453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《电动自行车用蓄电池及充电器 第3部分：锂离子蓄电池及其充电器》</w:t>
            </w:r>
          </w:p>
        </w:tc>
        <w:tc>
          <w:tcPr>
            <w:tcW w:w="2489"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sym w:font="Wingdings 2" w:char="F052"/>
            </w:r>
            <w:r>
              <w:rPr>
                <w:rFonts w:hint="eastAsia" w:ascii="仿宋_GB2312" w:hAnsi="宋体" w:eastAsia="仿宋_GB2312"/>
                <w:sz w:val="24"/>
              </w:rPr>
              <w:t xml:space="preserve">CMA  </w:t>
            </w:r>
            <w:r>
              <w:rPr>
                <w:rFonts w:hint="eastAsia" w:ascii="仿宋_GB2312" w:hAnsi="宋体" w:eastAsia="仿宋_GB2312"/>
                <w:sz w:val="24"/>
              </w:rPr>
              <w:sym w:font="Wingdings 2" w:char="F052"/>
            </w:r>
            <w:r>
              <w:rPr>
                <w:rFonts w:hint="eastAsia" w:ascii="仿宋_GB2312" w:hAnsi="宋体" w:eastAsia="仿宋_GB2312"/>
                <w:sz w:val="24"/>
              </w:rPr>
              <w:t xml:space="preserve">CAL </w:t>
            </w:r>
            <w:r>
              <w:rPr>
                <w:rFonts w:hint="eastAsia" w:ascii="仿宋_GB2312" w:hAnsi="宋体"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w:t>
            </w:r>
          </w:p>
        </w:tc>
        <w:tc>
          <w:tcPr>
            <w:tcW w:w="2322"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GB 4706.1-2005</w:t>
            </w:r>
          </w:p>
        </w:tc>
        <w:tc>
          <w:tcPr>
            <w:tcW w:w="4536"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《家用和类似用途电器的安全 第1部分：通用要求》</w:t>
            </w:r>
          </w:p>
        </w:tc>
        <w:tc>
          <w:tcPr>
            <w:tcW w:w="2489"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7</w:t>
            </w:r>
          </w:p>
        </w:tc>
        <w:tc>
          <w:tcPr>
            <w:tcW w:w="2322"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GB 4706.18-2014</w:t>
            </w:r>
          </w:p>
        </w:tc>
        <w:tc>
          <w:tcPr>
            <w:tcW w:w="4536"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t>《家用和类似用途电器的安全 电池充电器的特殊要求》</w:t>
            </w:r>
          </w:p>
        </w:tc>
        <w:tc>
          <w:tcPr>
            <w:tcW w:w="2489" w:type="dxa"/>
            <w:noWrap w:val="0"/>
            <w:vAlign w:val="center"/>
          </w:tcPr>
          <w:p>
            <w:pPr>
              <w:spacing w:line="360" w:lineRule="auto"/>
              <w:jc w:val="center"/>
              <w:rPr>
                <w:rFonts w:ascii="仿宋_GB2312" w:hAnsi="宋体" w:eastAsia="仿宋_GB2312"/>
                <w:sz w:val="24"/>
              </w:rPr>
            </w:pPr>
            <w:r>
              <w:rPr>
                <w:rFonts w:hint="eastAsia" w:ascii="仿宋_GB2312" w:eastAsia="仿宋_GB2312"/>
                <w:sz w:val="24"/>
              </w:rPr>
              <w:sym w:font="Wingdings 2" w:char="F052"/>
            </w:r>
            <w:r>
              <w:rPr>
                <w:rFonts w:hint="eastAsia" w:ascii="仿宋_GB2312" w:hAnsi="宋体" w:eastAsia="仿宋_GB2312"/>
                <w:sz w:val="24"/>
              </w:rPr>
              <w:t xml:space="preserve">CMA  </w:t>
            </w:r>
            <w:r>
              <w:rPr>
                <w:rFonts w:hint="eastAsia" w:ascii="仿宋_GB2312" w:eastAsia="仿宋_GB2312"/>
                <w:sz w:val="24"/>
              </w:rPr>
              <w:sym w:font="Wingdings 2" w:char="F052"/>
            </w:r>
            <w:r>
              <w:rPr>
                <w:rFonts w:hint="eastAsia" w:ascii="仿宋_GB2312" w:hAnsi="宋体" w:eastAsia="仿宋_GB2312"/>
                <w:sz w:val="24"/>
              </w:rPr>
              <w:t xml:space="preserve">CAL </w:t>
            </w:r>
            <w:r>
              <w:rPr>
                <w:rFonts w:hint="eastAsia" w:ascii="仿宋_GB2312" w:eastAsia="仿宋_GB2312"/>
                <w:sz w:val="24"/>
              </w:rPr>
              <w:sym w:font="Wingdings 2" w:char="F052"/>
            </w:r>
            <w:r>
              <w:rPr>
                <w:rFonts w:hint="eastAsia" w:ascii="仿宋_GB2312" w:hAnsi="宋体" w:eastAsia="仿宋_GB2312"/>
                <w:sz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w:t>
            </w:r>
          </w:p>
        </w:tc>
        <w:tc>
          <w:tcPr>
            <w:tcW w:w="2322" w:type="dxa"/>
            <w:noWrap w:val="0"/>
            <w:vAlign w:val="center"/>
          </w:tcPr>
          <w:p>
            <w:pPr>
              <w:spacing w:line="360" w:lineRule="auto"/>
              <w:jc w:val="center"/>
              <w:rPr>
                <w:rFonts w:ascii="仿宋_GB2312" w:eastAsia="仿宋_GB2312"/>
                <w:sz w:val="24"/>
              </w:rPr>
            </w:pPr>
            <w:r>
              <w:rPr>
                <w:rFonts w:hint="eastAsia" w:ascii="仿宋_GB2312" w:eastAsia="仿宋_GB2312"/>
                <w:sz w:val="24"/>
              </w:rPr>
              <w:t>GB 4706.18-20</w:t>
            </w:r>
            <w:r>
              <w:rPr>
                <w:rFonts w:ascii="仿宋_GB2312" w:eastAsia="仿宋_GB2312"/>
                <w:sz w:val="24"/>
              </w:rPr>
              <w:t>05</w:t>
            </w:r>
          </w:p>
        </w:tc>
        <w:tc>
          <w:tcPr>
            <w:tcW w:w="4536" w:type="dxa"/>
            <w:noWrap w:val="0"/>
            <w:vAlign w:val="center"/>
          </w:tcPr>
          <w:p>
            <w:pPr>
              <w:spacing w:line="360" w:lineRule="auto"/>
              <w:jc w:val="center"/>
              <w:rPr>
                <w:rFonts w:ascii="仿宋_GB2312" w:eastAsia="仿宋_GB2312"/>
                <w:sz w:val="24"/>
              </w:rPr>
            </w:pPr>
            <w:r>
              <w:rPr>
                <w:rFonts w:hint="eastAsia" w:ascii="仿宋_GB2312" w:eastAsia="仿宋_GB2312"/>
                <w:sz w:val="24"/>
              </w:rPr>
              <w:t>《家用和类似用途电器的安全 电池充电器的特殊要求》</w:t>
            </w:r>
          </w:p>
        </w:tc>
        <w:tc>
          <w:tcPr>
            <w:tcW w:w="2489" w:type="dxa"/>
            <w:noWrap w:val="0"/>
            <w:vAlign w:val="center"/>
          </w:tcPr>
          <w:p>
            <w:pPr>
              <w:spacing w:line="360" w:lineRule="auto"/>
              <w:jc w:val="center"/>
              <w:rPr>
                <w:rFonts w:ascii="仿宋_GB2312" w:eastAsia="仿宋_GB2312"/>
                <w:sz w:val="24"/>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9</w:t>
            </w:r>
          </w:p>
        </w:tc>
        <w:tc>
          <w:tcPr>
            <w:tcW w:w="2322" w:type="dxa"/>
            <w:noWrap w:val="0"/>
            <w:vAlign w:val="center"/>
          </w:tcPr>
          <w:p>
            <w:pPr>
              <w:spacing w:line="360" w:lineRule="auto"/>
              <w:jc w:val="center"/>
              <w:rPr>
                <w:rFonts w:ascii="仿宋_GB2312" w:eastAsia="仿宋_GB2312"/>
                <w:sz w:val="24"/>
              </w:rPr>
            </w:pPr>
            <w:r>
              <w:rPr>
                <w:rFonts w:hint="eastAsia" w:ascii="仿宋_GB2312" w:eastAsia="仿宋_GB2312"/>
                <w:sz w:val="24"/>
              </w:rPr>
              <w:t>GB/T 36944</w:t>
            </w:r>
            <w:r>
              <w:rPr>
                <w:rFonts w:ascii="仿宋_GB2312" w:eastAsia="仿宋_GB2312"/>
                <w:sz w:val="24"/>
              </w:rPr>
              <w:t>-2018</w:t>
            </w:r>
          </w:p>
        </w:tc>
        <w:tc>
          <w:tcPr>
            <w:tcW w:w="4536" w:type="dxa"/>
            <w:noWrap w:val="0"/>
            <w:vAlign w:val="center"/>
          </w:tcPr>
          <w:p>
            <w:pPr>
              <w:spacing w:line="360" w:lineRule="auto"/>
              <w:jc w:val="center"/>
              <w:rPr>
                <w:rFonts w:ascii="仿宋_GB2312" w:eastAsia="仿宋_GB2312"/>
                <w:sz w:val="24"/>
              </w:rPr>
            </w:pPr>
            <w:r>
              <w:rPr>
                <w:rFonts w:hint="eastAsia" w:ascii="仿宋_GB2312" w:eastAsia="仿宋_GB2312"/>
                <w:sz w:val="24"/>
              </w:rPr>
              <w:t>《电动自行车用充电器技术要求》</w:t>
            </w:r>
          </w:p>
        </w:tc>
        <w:tc>
          <w:tcPr>
            <w:tcW w:w="2489" w:type="dxa"/>
            <w:noWrap w:val="0"/>
            <w:vAlign w:val="center"/>
          </w:tcPr>
          <w:p>
            <w:pPr>
              <w:spacing w:line="360" w:lineRule="auto"/>
              <w:jc w:val="center"/>
              <w:rPr>
                <w:rFonts w:ascii="仿宋_GB2312" w:eastAsia="仿宋_GB2312"/>
                <w:sz w:val="24"/>
              </w:rPr>
            </w:pPr>
            <w:r>
              <w:rPr>
                <w:rFonts w:hint="eastAsia" w:ascii="宋体"/>
                <w:sz w:val="24"/>
                <w:szCs w:val="21"/>
              </w:rPr>
              <w:sym w:font="Wingdings 2" w:char="F052"/>
            </w:r>
            <w:r>
              <w:rPr>
                <w:rFonts w:hint="eastAsia" w:ascii="仿宋_GB2312" w:hAnsi="宋体" w:eastAsia="仿宋_GB2312"/>
                <w:sz w:val="24"/>
                <w:szCs w:val="21"/>
              </w:rPr>
              <w:t xml:space="preserve">CMA  </w:t>
            </w:r>
            <w:r>
              <w:rPr>
                <w:rFonts w:hint="eastAsia" w:ascii="宋体"/>
                <w:sz w:val="24"/>
                <w:szCs w:val="21"/>
              </w:rPr>
              <w:sym w:font="Wingdings 2" w:char="F052"/>
            </w:r>
            <w:r>
              <w:rPr>
                <w:rFonts w:hint="eastAsia" w:ascii="仿宋_GB2312" w:hAnsi="宋体" w:eastAsia="仿宋_GB2312"/>
                <w:sz w:val="24"/>
                <w:szCs w:val="21"/>
              </w:rPr>
              <w:t xml:space="preserve">CAL </w:t>
            </w:r>
            <w:r>
              <w:rPr>
                <w:rFonts w:hint="eastAsia" w:ascii="宋体"/>
                <w:sz w:val="24"/>
                <w:szCs w:val="21"/>
              </w:rPr>
              <w:sym w:font="Wingdings 2" w:char="F052"/>
            </w:r>
            <w:r>
              <w:rPr>
                <w:rFonts w:hint="eastAsia" w:ascii="仿宋_GB2312" w:hAnsi="宋体" w:eastAsia="仿宋_GB2312"/>
                <w:sz w:val="24"/>
                <w:szCs w:val="21"/>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相关的产品强制性标准、行业标准、政府法规及产品的明示标准（包括备案的企业标准）和明示担保内容。</w:t>
      </w:r>
    </w:p>
    <w:p>
      <w:pPr>
        <w:pStyle w:val="3"/>
        <w:spacing w:before="0" w:after="0"/>
      </w:pPr>
      <w:r>
        <w:rPr>
          <w:rFonts w:hint="eastAsia"/>
        </w:rPr>
        <w:t>5 抽样</w:t>
      </w:r>
    </w:p>
    <w:p>
      <w:pPr>
        <w:rPr>
          <w:rFonts w:ascii="仿宋_GB2312" w:eastAsia="仿宋_GB2312"/>
          <w:b/>
          <w:bCs/>
          <w:sz w:val="28"/>
          <w:szCs w:val="28"/>
        </w:rPr>
      </w:pPr>
      <w:r>
        <w:rPr>
          <w:rFonts w:hint="eastAsia" w:ascii="仿宋_GB2312" w:eastAsia="仿宋_GB2312"/>
          <w:b/>
          <w:bCs/>
          <w:sz w:val="28"/>
          <w:szCs w:val="28"/>
        </w:rPr>
        <w:t>5.1 抽样型号或规格</w:t>
      </w:r>
    </w:p>
    <w:p>
      <w:pPr>
        <w:snapToGrid w:val="0"/>
        <w:spacing w:line="600" w:lineRule="exact"/>
        <w:ind w:firstLine="537" w:firstLineChars="192"/>
        <w:rPr>
          <w:rFonts w:ascii="仿宋_GB2312" w:hAnsi="宋体" w:eastAsia="仿宋_GB2312"/>
          <w:sz w:val="28"/>
          <w:szCs w:val="28"/>
        </w:rPr>
      </w:pPr>
      <w:r>
        <w:rPr>
          <w:rFonts w:hint="eastAsia" w:ascii="仿宋_GB2312" w:hAnsi="宋体" w:eastAsia="仿宋_GB2312"/>
          <w:sz w:val="28"/>
          <w:szCs w:val="28"/>
        </w:rPr>
        <w:t>应随机抽取样品须为同一型号规格，同一批次的产品。</w:t>
      </w:r>
    </w:p>
    <w:p>
      <w:pPr>
        <w:rPr>
          <w:rFonts w:ascii="仿宋_GB2312" w:eastAsia="仿宋_GB2312"/>
          <w:b/>
          <w:bCs/>
          <w:sz w:val="28"/>
          <w:szCs w:val="28"/>
        </w:rPr>
      </w:pPr>
      <w:r>
        <w:rPr>
          <w:rFonts w:hint="eastAsia" w:ascii="仿宋_GB2312" w:eastAsia="仿宋_GB2312"/>
          <w:b/>
          <w:bCs/>
          <w:sz w:val="28"/>
          <w:szCs w:val="28"/>
        </w:rPr>
        <w:t>5.2 取样方法</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生产领域：</w:t>
      </w:r>
      <w:r>
        <w:rPr>
          <w:rFonts w:hint="eastAsia" w:ascii="仿宋_GB2312" w:hAnsi="宋体" w:eastAsia="仿宋_GB2312"/>
          <w:sz w:val="28"/>
          <w:szCs w:val="28"/>
        </w:rPr>
        <w:t>在生产企业的成品库内、生产线末端随机抽取经企业检验合格或以任何方式表明已检验合格的并在国内销售的成品。在生产企业抽样，检验样品原则上以向企业购样为主，备用样品由被抽样企业先行无偿提供，并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 xml:space="preserve"> 流通领域：</w:t>
      </w:r>
      <w:r>
        <w:rPr>
          <w:rFonts w:hint="eastAsia" w:ascii="仿宋_GB2312" w:hAnsi="宋体" w:eastAsia="仿宋_GB2312"/>
          <w:sz w:val="28"/>
          <w:szCs w:val="28"/>
        </w:rPr>
        <w:t>本次抽样采取在流通领域实体店以及网络交易平台两种方式获得样品。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实体店：在市场上随机抽取经企业检验合格或以任何方式表明已检验合格的并在国内销售的成品。在经销企业抽样，检验样品原则上以向商家购样为主，备用样品由商家先行无偿提供，并</w:t>
      </w:r>
      <w:r>
        <w:rPr>
          <w:rFonts w:ascii="仿宋_GB2312" w:hAnsi="宋体" w:eastAsia="仿宋_GB2312"/>
          <w:sz w:val="28"/>
          <w:szCs w:val="28"/>
        </w:rPr>
        <w:t>向被抽样企业提交</w:t>
      </w:r>
      <w:r>
        <w:rPr>
          <w:rFonts w:hint="eastAsia" w:ascii="仿宋_GB2312" w:hAnsi="宋体" w:eastAsia="仿宋_GB2312"/>
          <w:sz w:val="28"/>
          <w:szCs w:val="28"/>
        </w:rPr>
        <w:t>《无偿提供样品通知书》及</w:t>
      </w:r>
      <w:r>
        <w:rPr>
          <w:rFonts w:ascii="仿宋_GB2312" w:hAnsi="宋体" w:eastAsia="仿宋_GB2312"/>
          <w:sz w:val="28"/>
          <w:szCs w:val="28"/>
        </w:rPr>
        <w:t>《退样通知书》，被抽样企业可凭《退样通知书》并按相关规定退回无偿提供的样品。</w:t>
      </w:r>
    </w:p>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网络交易平台：若网络交易平台是在深圳市登记注册的，可对该平台的自营商品进行抽检。若网络交易平台不在深圳市登记注册的，仅可对其平台上在深圳市依法登记的经营者销售的商品进行抽检。在网络交易平台抽样，检验样品以及备用样品原则上均以向商家购样为主。</w:t>
      </w:r>
    </w:p>
    <w:p>
      <w:pPr>
        <w:rPr>
          <w:rFonts w:ascii="仿宋_GB2312" w:eastAsia="仿宋_GB2312"/>
          <w:b/>
          <w:bCs/>
          <w:sz w:val="28"/>
          <w:szCs w:val="28"/>
        </w:rPr>
      </w:pPr>
      <w:r>
        <w:rPr>
          <w:rFonts w:hint="eastAsia" w:ascii="仿宋_GB2312" w:eastAsia="仿宋_GB2312"/>
          <w:b/>
          <w:bCs/>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rPr>
          <w:rFonts w:ascii="仿宋_GB2312" w:eastAsia="仿宋_GB2312"/>
          <w:b/>
          <w:bCs/>
          <w:sz w:val="28"/>
          <w:szCs w:val="28"/>
        </w:rPr>
      </w:pPr>
      <w:r>
        <w:rPr>
          <w:rFonts w:hint="eastAsia" w:ascii="仿宋_GB2312" w:eastAsia="仿宋_GB2312"/>
          <w:b/>
          <w:bCs/>
          <w:sz w:val="28"/>
          <w:szCs w:val="28"/>
        </w:rPr>
        <w:t>5.4 抽样数量</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抽取样品的数量不得超过检验、复检的合理需要，具体数量见表4。</w:t>
      </w:r>
    </w:p>
    <w:p>
      <w:pPr>
        <w:snapToGrid w:val="0"/>
        <w:spacing w:line="360" w:lineRule="auto"/>
        <w:jc w:val="center"/>
        <w:rPr>
          <w:rFonts w:ascii="黑体" w:hAnsi="宋体" w:eastAsia="黑体"/>
          <w:sz w:val="28"/>
          <w:szCs w:val="28"/>
        </w:rPr>
      </w:pPr>
    </w:p>
    <w:p>
      <w:pPr>
        <w:snapToGrid w:val="0"/>
        <w:spacing w:line="360" w:lineRule="auto"/>
        <w:jc w:val="center"/>
        <w:rPr>
          <w:rFonts w:ascii="黑体" w:hAnsi="宋体" w:eastAsia="黑体"/>
          <w:sz w:val="28"/>
          <w:szCs w:val="28"/>
        </w:rPr>
      </w:pPr>
      <w:r>
        <w:rPr>
          <w:rFonts w:hint="eastAsia" w:ascii="黑体" w:hAnsi="宋体" w:eastAsia="黑体"/>
          <w:sz w:val="28"/>
          <w:szCs w:val="28"/>
        </w:rPr>
        <w:t>表4 每批次样品数量要求</w:t>
      </w:r>
    </w:p>
    <w:tbl>
      <w:tblPr>
        <w:tblStyle w:val="5"/>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746"/>
        <w:gridCol w:w="1971"/>
        <w:gridCol w:w="197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138" w:type="dxa"/>
            <w:noWrap w:val="0"/>
            <w:vAlign w:val="center"/>
          </w:tcPr>
          <w:p>
            <w:pPr>
              <w:spacing w:line="360" w:lineRule="auto"/>
              <w:jc w:val="center"/>
              <w:rPr>
                <w:rFonts w:ascii="黑体" w:hAnsi="宋体" w:eastAsia="黑体"/>
                <w:sz w:val="24"/>
              </w:rPr>
            </w:pPr>
            <w:r>
              <w:rPr>
                <w:rFonts w:hint="eastAsia" w:ascii="黑体" w:hAnsi="宋体" w:eastAsia="黑体"/>
                <w:sz w:val="24"/>
              </w:rPr>
              <w:t>类别</w:t>
            </w:r>
          </w:p>
        </w:tc>
        <w:tc>
          <w:tcPr>
            <w:tcW w:w="1746" w:type="dxa"/>
            <w:noWrap w:val="0"/>
            <w:vAlign w:val="center"/>
          </w:tcPr>
          <w:p>
            <w:pPr>
              <w:spacing w:line="360" w:lineRule="auto"/>
              <w:jc w:val="center"/>
              <w:rPr>
                <w:rFonts w:ascii="黑体" w:hAnsi="宋体" w:eastAsia="黑体"/>
                <w:sz w:val="24"/>
              </w:rPr>
            </w:pPr>
            <w:r>
              <w:rPr>
                <w:rFonts w:hint="eastAsia" w:ascii="黑体" w:hAnsi="宋体" w:eastAsia="黑体"/>
                <w:sz w:val="24"/>
              </w:rPr>
              <w:t>标准</w:t>
            </w:r>
          </w:p>
        </w:tc>
        <w:tc>
          <w:tcPr>
            <w:tcW w:w="1971" w:type="dxa"/>
            <w:noWrap w:val="0"/>
            <w:vAlign w:val="center"/>
          </w:tcPr>
          <w:p>
            <w:pPr>
              <w:spacing w:line="360" w:lineRule="auto"/>
              <w:jc w:val="center"/>
              <w:rPr>
                <w:rFonts w:ascii="黑体" w:hAnsi="宋体" w:eastAsia="黑体"/>
                <w:sz w:val="24"/>
              </w:rPr>
            </w:pPr>
            <w:r>
              <w:rPr>
                <w:rFonts w:hint="eastAsia" w:ascii="黑体" w:hAnsi="宋体" w:eastAsia="黑体"/>
                <w:sz w:val="24"/>
              </w:rPr>
              <w:t>检验样品数量</w:t>
            </w:r>
          </w:p>
        </w:tc>
        <w:tc>
          <w:tcPr>
            <w:tcW w:w="1972" w:type="dxa"/>
            <w:noWrap w:val="0"/>
            <w:vAlign w:val="center"/>
          </w:tcPr>
          <w:p>
            <w:pPr>
              <w:spacing w:line="360" w:lineRule="auto"/>
              <w:jc w:val="center"/>
              <w:rPr>
                <w:rFonts w:ascii="黑体" w:hAnsi="宋体" w:eastAsia="黑体"/>
                <w:sz w:val="24"/>
              </w:rPr>
            </w:pPr>
            <w:r>
              <w:rPr>
                <w:rFonts w:hint="eastAsia" w:ascii="黑体" w:hAnsi="宋体" w:eastAsia="黑体"/>
                <w:sz w:val="24"/>
              </w:rPr>
              <w:t>备用样品数量</w:t>
            </w:r>
          </w:p>
        </w:tc>
        <w:tc>
          <w:tcPr>
            <w:tcW w:w="1972" w:type="dxa"/>
            <w:noWrap w:val="0"/>
            <w:vAlign w:val="center"/>
          </w:tcPr>
          <w:p>
            <w:pPr>
              <w:spacing w:line="360" w:lineRule="auto"/>
              <w:jc w:val="center"/>
              <w:rPr>
                <w:rFonts w:ascii="黑体" w:hAnsi="宋体" w:eastAsia="黑体"/>
                <w:sz w:val="24"/>
              </w:rPr>
            </w:pPr>
            <w:r>
              <w:rPr>
                <w:rFonts w:hint="eastAsia" w:ascii="黑体" w:hAnsi="宋体" w:eastAsia="黑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restart"/>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铅酸</w:t>
            </w:r>
          </w:p>
          <w:p>
            <w:pPr>
              <w:spacing w:line="360" w:lineRule="auto"/>
              <w:jc w:val="center"/>
              <w:rPr>
                <w:rFonts w:ascii="仿宋_GB2312" w:hAnsi="宋体" w:eastAsia="仿宋_GB2312"/>
                <w:sz w:val="24"/>
              </w:rPr>
            </w:pPr>
            <w:r>
              <w:rPr>
                <w:rFonts w:hint="eastAsia" w:ascii="仿宋_GB2312" w:hAnsi="宋体" w:eastAsia="仿宋_GB2312"/>
                <w:sz w:val="24"/>
              </w:rPr>
              <w:t>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22199.1</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12组蓄电池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continue"/>
            <w:noWrap w:val="0"/>
            <w:vAlign w:val="center"/>
          </w:tcPr>
          <w:p>
            <w:pPr>
              <w:spacing w:line="360" w:lineRule="auto"/>
              <w:jc w:val="center"/>
              <w:rPr>
                <w:rFonts w:ascii="仿宋_GB2312" w:hAnsi="宋体" w:eastAsia="仿宋_GB2312"/>
                <w:sz w:val="24"/>
              </w:rPr>
            </w:pP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2947.1</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10组蓄电池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金属氢化物镍蓄电池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2947.2</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8组蓄电池、10个单体电池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4组蓄电池、6个单体电池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12组蓄电池、16个单体电池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restart"/>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锂离子</w:t>
            </w:r>
          </w:p>
          <w:p>
            <w:pPr>
              <w:spacing w:line="360" w:lineRule="auto"/>
              <w:jc w:val="center"/>
              <w:rPr>
                <w:rFonts w:ascii="仿宋_GB2312" w:hAnsi="宋体" w:eastAsia="仿宋_GB2312"/>
                <w:sz w:val="24"/>
              </w:rPr>
            </w:pPr>
            <w:r>
              <w:rPr>
                <w:rFonts w:hint="eastAsia" w:ascii="仿宋_GB2312" w:hAnsi="宋体" w:eastAsia="仿宋_GB2312"/>
                <w:sz w:val="24"/>
              </w:rPr>
              <w:t>蓄电池</w:t>
            </w: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GB/T 36972</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16组蓄电池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24组蓄电池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vMerge w:val="continue"/>
            <w:noWrap w:val="0"/>
            <w:vAlign w:val="center"/>
          </w:tcPr>
          <w:p>
            <w:pPr>
              <w:spacing w:line="360" w:lineRule="auto"/>
              <w:jc w:val="center"/>
              <w:rPr>
                <w:rFonts w:ascii="仿宋_GB2312" w:hAnsi="宋体" w:eastAsia="仿宋_GB2312"/>
                <w:sz w:val="24"/>
              </w:rPr>
            </w:pPr>
          </w:p>
        </w:tc>
        <w:tc>
          <w:tcPr>
            <w:tcW w:w="1746"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QB/T 2947.3</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8组蓄电池、10个单体电池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6组蓄电池、6个单体电池</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14组蓄电池、16个单体电池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38"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电动自行车用电池充电器</w:t>
            </w:r>
          </w:p>
        </w:tc>
        <w:tc>
          <w:tcPr>
            <w:tcW w:w="1746" w:type="dxa"/>
            <w:noWrap w:val="0"/>
            <w:vAlign w:val="center"/>
          </w:tcPr>
          <w:p>
            <w:pPr>
              <w:jc w:val="center"/>
              <w:rPr>
                <w:rFonts w:ascii="仿宋_GB2312" w:hAnsi="宋体" w:eastAsia="仿宋_GB2312"/>
                <w:sz w:val="24"/>
              </w:rPr>
            </w:pPr>
            <w:r>
              <w:rPr>
                <w:rFonts w:hint="eastAsia" w:ascii="仿宋_GB2312" w:hAnsi="宋体" w:eastAsia="仿宋_GB2312"/>
                <w:sz w:val="24"/>
              </w:rPr>
              <w:t>GB 4706.1</w:t>
            </w:r>
          </w:p>
          <w:p>
            <w:pPr>
              <w:jc w:val="center"/>
              <w:rPr>
                <w:rFonts w:ascii="仿宋_GB2312" w:hAnsi="宋体" w:eastAsia="仿宋_GB2312"/>
                <w:sz w:val="24"/>
              </w:rPr>
            </w:pPr>
            <w:r>
              <w:rPr>
                <w:rFonts w:hint="eastAsia" w:ascii="仿宋_GB2312" w:hAnsi="宋体" w:eastAsia="仿宋_GB2312"/>
                <w:sz w:val="24"/>
              </w:rPr>
              <w:t>GB 4706.18</w:t>
            </w:r>
          </w:p>
          <w:p>
            <w:pPr>
              <w:jc w:val="center"/>
              <w:rPr>
                <w:rFonts w:ascii="仿宋_GB2312" w:eastAsia="仿宋_GB2312"/>
                <w:sz w:val="24"/>
              </w:rPr>
            </w:pPr>
            <w:r>
              <w:rPr>
                <w:rFonts w:hint="eastAsia" w:ascii="仿宋_GB2312" w:eastAsia="仿宋_GB2312"/>
                <w:sz w:val="24"/>
              </w:rPr>
              <w:t>QB/T 2947.1</w:t>
            </w:r>
          </w:p>
          <w:p>
            <w:pPr>
              <w:jc w:val="center"/>
              <w:rPr>
                <w:rFonts w:ascii="仿宋_GB2312" w:hAnsi="宋体" w:eastAsia="仿宋_GB2312"/>
                <w:sz w:val="24"/>
              </w:rPr>
            </w:pPr>
            <w:r>
              <w:rPr>
                <w:rFonts w:hint="eastAsia" w:ascii="仿宋_GB2312" w:hAnsi="宋体" w:eastAsia="仿宋_GB2312"/>
                <w:sz w:val="24"/>
              </w:rPr>
              <w:t>GB</w:t>
            </w:r>
            <w:r>
              <w:rPr>
                <w:rFonts w:hint="eastAsia" w:ascii="仿宋_GB2312" w:eastAsia="仿宋_GB2312"/>
                <w:sz w:val="24"/>
              </w:rPr>
              <w:t>/T 36944-2018</w:t>
            </w:r>
          </w:p>
        </w:tc>
        <w:tc>
          <w:tcPr>
            <w:tcW w:w="1971"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1个</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1个</w:t>
            </w:r>
          </w:p>
        </w:tc>
        <w:tc>
          <w:tcPr>
            <w:tcW w:w="1972" w:type="dxa"/>
            <w:noWrap w:val="0"/>
            <w:vAlign w:val="center"/>
          </w:tcPr>
          <w:p>
            <w:pPr>
              <w:spacing w:line="360" w:lineRule="auto"/>
              <w:jc w:val="center"/>
              <w:rPr>
                <w:rFonts w:ascii="仿宋_GB2312" w:hAnsi="宋体" w:eastAsia="仿宋_GB2312"/>
                <w:sz w:val="24"/>
              </w:rPr>
            </w:pPr>
            <w:r>
              <w:rPr>
                <w:rFonts w:hint="eastAsia" w:ascii="仿宋_GB2312" w:hAnsi="宋体" w:eastAsia="仿宋_GB2312"/>
                <w:sz w:val="24"/>
              </w:rPr>
              <w:t>2个</w:t>
            </w:r>
          </w:p>
        </w:tc>
      </w:tr>
    </w:tbl>
    <w:p>
      <w:pPr>
        <w:snapToGri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生产领域及流通领域抽样，检验样品带回承检机构，备用样品封存于承检机构。</w:t>
      </w:r>
    </w:p>
    <w:p>
      <w:pPr>
        <w:rPr>
          <w:rFonts w:ascii="仿宋_GB2312" w:eastAsia="仿宋_GB2312"/>
          <w:b/>
          <w:bCs/>
          <w:sz w:val="28"/>
          <w:szCs w:val="28"/>
        </w:rPr>
      </w:pPr>
      <w:r>
        <w:rPr>
          <w:rFonts w:hint="eastAsia" w:ascii="仿宋_GB2312" w:eastAsia="仿宋_GB2312"/>
          <w:b/>
          <w:bCs/>
          <w:sz w:val="28"/>
          <w:szCs w:val="28"/>
        </w:rPr>
        <w:t>5.5 取样要求</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.5.1</w:t>
      </w:r>
      <w:r>
        <w:rPr>
          <w:rFonts w:hint="eastAsia" w:ascii="仿宋_GB2312" w:eastAsia="仿宋_GB2312"/>
          <w:sz w:val="28"/>
          <w:szCs w:val="28"/>
        </w:rPr>
        <w:t xml:space="preserve"> 样品应当由抽样人员在被抽样生产者、销售者的代销产品中随机抽取，不得由被抽样生产者、销售者自行抽样。</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.5.2</w:t>
      </w:r>
      <w:r>
        <w:rPr>
          <w:rFonts w:hint="eastAsia" w:ascii="仿宋_GB2312" w:eastAsia="仿宋_GB2312"/>
          <w:sz w:val="28"/>
          <w:szCs w:val="28"/>
        </w:rPr>
        <w:t xml:space="preserve"> 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spacing w:line="600" w:lineRule="exact"/>
        <w:rPr>
          <w:rFonts w:ascii="仿宋_GB2312" w:eastAsia="仿宋_GB2312"/>
          <w:sz w:val="28"/>
          <w:szCs w:val="28"/>
        </w:rPr>
      </w:pPr>
      <w:r>
        <w:rPr>
          <w:rFonts w:ascii="仿宋_GB2312" w:eastAsia="仿宋_GB2312"/>
          <w:b/>
          <w:bCs/>
          <w:sz w:val="28"/>
          <w:szCs w:val="28"/>
        </w:rPr>
        <w:t>5</w:t>
      </w:r>
      <w:r>
        <w:rPr>
          <w:rFonts w:hint="eastAsia" w:ascii="仿宋_GB2312" w:eastAsia="仿宋_GB2312"/>
          <w:b/>
          <w:bCs/>
          <w:sz w:val="28"/>
          <w:szCs w:val="28"/>
        </w:rPr>
        <w:t>.5.3</w:t>
      </w:r>
      <w:r>
        <w:rPr>
          <w:rFonts w:hint="eastAsia" w:ascii="仿宋_GB2312" w:eastAsia="仿宋_GB2312"/>
          <w:sz w:val="28"/>
          <w:szCs w:val="28"/>
        </w:rPr>
        <w:t xml:space="preserve"> 抽样时应一并抽取产品的配件、赠品等。</w:t>
      </w:r>
    </w:p>
    <w:p>
      <w:pPr>
        <w:rPr>
          <w:rFonts w:ascii="仿宋_GB2312" w:eastAsia="仿宋_GB2312"/>
          <w:b/>
          <w:bCs/>
          <w:sz w:val="28"/>
          <w:szCs w:val="28"/>
        </w:rPr>
      </w:pPr>
      <w:r>
        <w:rPr>
          <w:rFonts w:hint="eastAsia" w:ascii="仿宋_GB2312" w:eastAsia="仿宋_GB2312"/>
          <w:b/>
          <w:bCs/>
          <w:sz w:val="28"/>
          <w:szCs w:val="28"/>
        </w:rPr>
        <w:t>5.6 样品处置</w:t>
      </w:r>
    </w:p>
    <w:p>
      <w:pPr>
        <w:snapToGrid w:val="0"/>
        <w:spacing w:line="600" w:lineRule="exact"/>
        <w:rPr>
          <w:rFonts w:ascii="仿宋_GB2312" w:hAnsi="宋体" w:eastAsia="仿宋_GB2312"/>
          <w:sz w:val="28"/>
          <w:szCs w:val="28"/>
        </w:rPr>
      </w:pPr>
      <w:r>
        <w:rPr>
          <w:rFonts w:hint="eastAsia" w:ascii="仿宋_GB2312" w:hAnsi="ˎ̥" w:eastAsia="仿宋_GB2312"/>
          <w:b/>
          <w:sz w:val="28"/>
          <w:szCs w:val="28"/>
        </w:rPr>
        <w:t>5.</w:t>
      </w:r>
      <w:r>
        <w:rPr>
          <w:rFonts w:ascii="仿宋_GB2312" w:hAnsi="ˎ̥" w:eastAsia="仿宋_GB2312"/>
          <w:b/>
          <w:sz w:val="28"/>
          <w:szCs w:val="28"/>
        </w:rPr>
        <w:t>6</w:t>
      </w:r>
      <w:r>
        <w:rPr>
          <w:rFonts w:hint="eastAsia" w:ascii="仿宋_GB2312" w:hAnsi="ˎ̥" w:eastAsia="仿宋_GB2312"/>
          <w:b/>
          <w:sz w:val="28"/>
          <w:szCs w:val="28"/>
        </w:rPr>
        <w:t>.1</w:t>
      </w:r>
      <w:r>
        <w:rPr>
          <w:rFonts w:hint="eastAsia" w:ascii="仿宋_GB2312" w:hAnsi="宋体" w:eastAsia="仿宋_GB2312"/>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600" w:lineRule="exact"/>
        <w:rPr>
          <w:rFonts w:ascii="仿宋_GB2312" w:eastAsia="仿宋_GB2312"/>
          <w:sz w:val="28"/>
          <w:szCs w:val="28"/>
        </w:rPr>
      </w:pPr>
      <w:r>
        <w:rPr>
          <w:rFonts w:hint="eastAsia" w:ascii="仿宋_GB2312" w:hAnsi="宋体" w:eastAsia="仿宋_GB2312"/>
          <w:b/>
          <w:sz w:val="28"/>
          <w:szCs w:val="28"/>
        </w:rPr>
        <w:t>5.</w:t>
      </w:r>
      <w:r>
        <w:rPr>
          <w:rFonts w:ascii="仿宋_GB2312" w:hAnsi="宋体" w:eastAsia="仿宋_GB2312"/>
          <w:b/>
          <w:sz w:val="28"/>
          <w:szCs w:val="28"/>
        </w:rPr>
        <w:t>6</w:t>
      </w:r>
      <w:r>
        <w:rPr>
          <w:rFonts w:hint="eastAsia" w:ascii="仿宋_GB2312" w:hAnsi="宋体" w:eastAsia="仿宋_GB2312"/>
          <w:b/>
          <w:sz w:val="28"/>
          <w:szCs w:val="28"/>
        </w:rPr>
        <w:t>.2</w:t>
      </w:r>
      <w:r>
        <w:rPr>
          <w:rFonts w:hint="eastAsia" w:ascii="仿宋_GB2312"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rPr>
          <w:rFonts w:ascii="仿宋_GB2312" w:eastAsia="仿宋_GB2312"/>
          <w:b/>
          <w:bCs/>
          <w:sz w:val="28"/>
          <w:szCs w:val="28"/>
        </w:rPr>
      </w:pPr>
      <w:r>
        <w:rPr>
          <w:rFonts w:hint="eastAsia" w:ascii="仿宋_GB2312" w:eastAsia="仿宋_GB2312"/>
          <w:b/>
          <w:bCs/>
          <w:sz w:val="28"/>
          <w:szCs w:val="28"/>
        </w:rPr>
        <w:t>5.7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pStyle w:val="3"/>
        <w:spacing w:before="0" w:after="0"/>
      </w:pPr>
      <w:r>
        <w:rPr>
          <w:rFonts w:hint="eastAsia"/>
        </w:rPr>
        <w:t>6 检验要求</w:t>
      </w:r>
    </w:p>
    <w:p>
      <w:pPr>
        <w:rPr>
          <w:rFonts w:ascii="仿宋_GB2312" w:eastAsia="仿宋_GB2312"/>
          <w:b/>
          <w:bCs/>
          <w:sz w:val="28"/>
          <w:szCs w:val="28"/>
        </w:rPr>
      </w:pPr>
      <w:r>
        <w:rPr>
          <w:rFonts w:hint="eastAsia" w:ascii="仿宋_GB2312" w:eastAsia="仿宋_GB2312"/>
          <w:b/>
          <w:bCs/>
          <w:sz w:val="28"/>
          <w:szCs w:val="28"/>
        </w:rPr>
        <w:t>6.1 检验项目</w:t>
      </w:r>
    </w:p>
    <w:p>
      <w:pPr>
        <w:snapToGrid w:val="0"/>
        <w:jc w:val="center"/>
        <w:rPr>
          <w:rFonts w:ascii="黑体" w:hAnsi="黑体" w:eastAsia="黑体"/>
          <w:sz w:val="28"/>
          <w:szCs w:val="28"/>
        </w:rPr>
      </w:pPr>
      <w:r>
        <w:rPr>
          <w:rFonts w:hint="eastAsia" w:ascii="黑体" w:hAnsi="黑体" w:eastAsia="黑体"/>
          <w:sz w:val="28"/>
          <w:szCs w:val="28"/>
        </w:rPr>
        <w:t>表5  铅酸蓄电池检验项目、依据及方法等要求</w:t>
      </w:r>
    </w:p>
    <w:tbl>
      <w:tblPr>
        <w:tblStyle w:val="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rPr>
                <w:rFonts w:ascii="仿宋_GB2312" w:hAnsi="宋体" w:eastAsia="仿宋_GB2312"/>
                <w:sz w:val="24"/>
                <w:szCs w:val="24"/>
              </w:rPr>
            </w:pPr>
            <w:r>
              <w:rPr>
                <w:rFonts w:hint="eastAsia" w:ascii="仿宋_GB2312" w:hAnsi="宋体" w:eastAsia="仿宋_GB2312"/>
                <w:b/>
                <w:sz w:val="24"/>
                <w:szCs w:val="24"/>
              </w:rPr>
              <w:t>标注标准为GB/T 22199.1-2017测试项目：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4.1.4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2h率额定容量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大电流放电特性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容量保存率</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能量密度</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-18℃低温容量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5.9.1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-10℃低温容量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5.9.2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快速充电能力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5.10</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寿命可靠性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开闭阀压力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安全性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防爆能力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阻燃性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恒功率放电能力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22199.1-2017</w:t>
            </w:r>
          </w:p>
          <w:p>
            <w:pPr>
              <w:jc w:val="center"/>
              <w:rPr>
                <w:rFonts w:ascii="仿宋_GB2312" w:hAnsi="宋体" w:eastAsia="仿宋_GB2312"/>
                <w:sz w:val="24"/>
              </w:rPr>
            </w:pPr>
            <w:r>
              <w:rPr>
                <w:rFonts w:hint="eastAsia" w:ascii="仿宋_GB2312" w:hAnsi="宋体" w:eastAsia="仿宋_GB2312"/>
                <w:sz w:val="24"/>
              </w:rPr>
              <w:t xml:space="preserve"> 4.17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GB/T 22199.1-2017</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rPr>
                <w:rFonts w:ascii="仿宋_GB2312" w:hAnsi="宋体" w:eastAsia="仿宋_GB2312"/>
                <w:sz w:val="24"/>
                <w:szCs w:val="24"/>
              </w:rPr>
            </w:pPr>
            <w:r>
              <w:rPr>
                <w:rFonts w:hint="eastAsia" w:ascii="仿宋_GB2312" w:hAnsi="宋体" w:eastAsia="仿宋_GB2312"/>
                <w:b/>
                <w:sz w:val="24"/>
                <w:szCs w:val="24"/>
              </w:rPr>
              <w:t>标注标准为QB/T 2947.1-2008测试项目：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外形尺寸要求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蓄电池端子</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2h率额定容量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大电流放电性能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组合一致性</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限压阀</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2947.1-2008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bl>
    <w:p>
      <w:pPr>
        <w:snapToGrid w:val="0"/>
        <w:jc w:val="center"/>
        <w:rPr>
          <w:rFonts w:ascii="黑体" w:hAnsi="黑体" w:eastAsia="黑体"/>
          <w:sz w:val="28"/>
          <w:szCs w:val="28"/>
        </w:rPr>
      </w:pPr>
      <w:r>
        <w:rPr>
          <w:rFonts w:hint="eastAsia" w:ascii="黑体" w:hAnsi="黑体" w:eastAsia="黑体"/>
          <w:sz w:val="28"/>
          <w:szCs w:val="28"/>
        </w:rPr>
        <w:t>表6 金属氢化物镍蓄电池检验项目、依据及方法等要求</w:t>
      </w:r>
    </w:p>
    <w:tbl>
      <w:tblPr>
        <w:tblStyle w:val="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重量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标志和代号</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开路电压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工作电流</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(A)倍率放电容量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短路</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恒温湿热</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反充电性能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130℃高温</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穿刺</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安全阀工作能力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2947.2-2008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jc w:val="left"/>
              <w:rPr>
                <w:rFonts w:ascii="仿宋_GB2312" w:hAnsi="宋体" w:eastAsia="仿宋_GB2312"/>
                <w:sz w:val="24"/>
                <w:szCs w:val="24"/>
              </w:rPr>
            </w:pPr>
            <w:r>
              <w:rPr>
                <w:rFonts w:hint="eastAsia" w:ascii="仿宋_GB2312" w:hAnsi="宋体" w:eastAsia="仿宋_GB2312"/>
                <w:sz w:val="24"/>
                <w:szCs w:val="24"/>
              </w:rPr>
              <w:t>注：第24、25、26项检测为检测“单体电池”，第24、25项各检测4个单体电池，第26项检测2个单体电池；其余所有项目为检测“蓄电池组”。</w:t>
            </w:r>
          </w:p>
        </w:tc>
      </w:tr>
    </w:tbl>
    <w:p>
      <w:pPr>
        <w:snapToGrid w:val="0"/>
        <w:jc w:val="center"/>
        <w:rPr>
          <w:rFonts w:ascii="黑体" w:hAnsi="黑体" w:eastAsia="黑体"/>
          <w:sz w:val="28"/>
          <w:szCs w:val="28"/>
        </w:rPr>
      </w:pPr>
      <w:r>
        <w:rPr>
          <w:rFonts w:hint="eastAsia" w:ascii="黑体" w:hAnsi="黑体" w:eastAsia="黑体"/>
          <w:sz w:val="28"/>
          <w:szCs w:val="28"/>
        </w:rPr>
        <w:t>表7 锂离子蓄电池检验项目、依据及方法等要求</w:t>
      </w:r>
    </w:p>
    <w:tbl>
      <w:tblPr>
        <w:tblStyle w:val="5"/>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2020"/>
        <w:gridCol w:w="2339"/>
        <w:gridCol w:w="992"/>
        <w:gridCol w:w="2309"/>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484"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序号</w:t>
            </w:r>
          </w:p>
        </w:tc>
        <w:tc>
          <w:tcPr>
            <w:tcW w:w="2020"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检验项目</w:t>
            </w:r>
          </w:p>
        </w:tc>
        <w:tc>
          <w:tcPr>
            <w:tcW w:w="2339" w:type="dxa"/>
            <w:noWrap w:val="0"/>
            <w:vAlign w:val="center"/>
          </w:tcPr>
          <w:p>
            <w:pPr>
              <w:snapToGrid w:val="0"/>
              <w:spacing w:before="78" w:beforeLines="25" w:after="78" w:afterLines="25"/>
              <w:jc w:val="center"/>
              <w:rPr>
                <w:rFonts w:ascii="黑体" w:hAnsi="宋体" w:eastAsia="黑体"/>
                <w:sz w:val="24"/>
              </w:rPr>
            </w:pPr>
            <w:r>
              <w:rPr>
                <w:rFonts w:hint="eastAsia" w:ascii="黑体" w:hAnsi="宋体" w:eastAsia="黑体"/>
                <w:sz w:val="24"/>
              </w:rPr>
              <w:t>依据法律法规</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或标准条款</w:t>
            </w:r>
          </w:p>
        </w:tc>
        <w:tc>
          <w:tcPr>
            <w:tcW w:w="992"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强制/推荐性</w:t>
            </w:r>
          </w:p>
        </w:tc>
        <w:tc>
          <w:tcPr>
            <w:tcW w:w="2309"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检测方法</w:t>
            </w:r>
          </w:p>
        </w:tc>
        <w:tc>
          <w:tcPr>
            <w:tcW w:w="1143" w:type="dxa"/>
            <w:noWrap w:val="0"/>
            <w:vAlign w:val="center"/>
          </w:tcPr>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复检</w:t>
            </w:r>
          </w:p>
          <w:p>
            <w:pPr>
              <w:pStyle w:val="4"/>
              <w:snapToGrid w:val="0"/>
              <w:spacing w:before="78" w:beforeLines="25" w:after="78" w:afterLines="25"/>
              <w:jc w:val="center"/>
              <w:rPr>
                <w:rFonts w:ascii="黑体" w:hAnsi="宋体" w:eastAsia="黑体"/>
                <w:sz w:val="24"/>
                <w:szCs w:val="24"/>
              </w:rPr>
            </w:pPr>
            <w:r>
              <w:rPr>
                <w:rFonts w:hint="eastAsia" w:ascii="黑体" w:hAnsi="宋体" w:eastAsia="黑体"/>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jc w:val="left"/>
              <w:rPr>
                <w:rFonts w:ascii="仿宋_GB2312" w:hAnsi="宋体" w:eastAsia="仿宋_GB2312"/>
                <w:sz w:val="24"/>
                <w:szCs w:val="24"/>
              </w:rPr>
            </w:pPr>
            <w:r>
              <w:rPr>
                <w:rFonts w:hint="eastAsia" w:ascii="仿宋_GB2312" w:hAnsi="宋体" w:eastAsia="仿宋_GB2312"/>
                <w:b/>
                <w:sz w:val="24"/>
                <w:szCs w:val="24"/>
              </w:rPr>
              <w:t>标注标准为GB/T 36972-2018测试项目：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充放电接口</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5.6.4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6.6.4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低温放电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高温放电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荷电保持能力及荷电恢复能力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长期贮存后荷电恢复能力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5.2.7</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内阻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5.2.8</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6.2.8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强制放电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外部短路</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机械冲击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振动</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5.3.7</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6.3.7</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5.3.8</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6.3.8</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低气压</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5.3.9</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6.3.9</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5.3.10</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6.3.10</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5.3.11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6.3.11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过充电保护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过放电保护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短路保护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5.4.4</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6.4.4</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26</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放电过流保护</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5.4.5</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6.4.5</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27</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静电放电</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5.4.6</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6.4.6</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28</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模制壳体应力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5.5.1</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6.5.1</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29</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壳体承受压力</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5.5.2</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6.5.2</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30</w:t>
            </w:r>
          </w:p>
        </w:tc>
        <w:tc>
          <w:tcPr>
            <w:tcW w:w="2020"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壳体阻燃性</w:t>
            </w:r>
          </w:p>
        </w:tc>
        <w:tc>
          <w:tcPr>
            <w:tcW w:w="233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5.5.3</w:t>
            </w:r>
          </w:p>
        </w:tc>
        <w:tc>
          <w:tcPr>
            <w:tcW w:w="992"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jc w:val="center"/>
              <w:rPr>
                <w:rFonts w:ascii="仿宋_GB2312" w:hAnsi="宋体" w:eastAsia="仿宋_GB2312"/>
                <w:sz w:val="24"/>
              </w:rPr>
            </w:pPr>
            <w:r>
              <w:rPr>
                <w:rFonts w:hint="eastAsia" w:ascii="仿宋_GB2312" w:hAnsi="宋体" w:eastAsia="仿宋_GB2312"/>
                <w:sz w:val="24"/>
              </w:rPr>
              <w:t>GB/T 36972-2018</w:t>
            </w:r>
          </w:p>
          <w:p>
            <w:pPr>
              <w:jc w:val="center"/>
              <w:rPr>
                <w:rFonts w:ascii="仿宋_GB2312" w:hAnsi="宋体" w:eastAsia="仿宋_GB2312"/>
                <w:sz w:val="24"/>
              </w:rPr>
            </w:pPr>
            <w:r>
              <w:rPr>
                <w:rFonts w:hint="eastAsia" w:ascii="仿宋_GB2312" w:hAnsi="宋体" w:eastAsia="仿宋_GB2312"/>
                <w:sz w:val="24"/>
              </w:rPr>
              <w:t xml:space="preserve"> 6.5.3</w:t>
            </w:r>
          </w:p>
        </w:tc>
        <w:tc>
          <w:tcPr>
            <w:tcW w:w="1143" w:type="dxa"/>
            <w:noWrap w:val="0"/>
            <w:vAlign w:val="center"/>
          </w:tcPr>
          <w:p>
            <w:pPr>
              <w:pStyle w:val="4"/>
              <w:snapToGrid w:val="0"/>
              <w:spacing w:before="78" w:beforeLines="25" w:after="78" w:afterLines="25"/>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spacing w:before="78" w:beforeLines="25" w:after="78" w:afterLines="25"/>
              <w:jc w:val="left"/>
              <w:rPr>
                <w:rFonts w:ascii="仿宋_GB2312" w:hAnsi="宋体" w:eastAsia="仿宋_GB2312"/>
                <w:sz w:val="24"/>
                <w:szCs w:val="24"/>
              </w:rPr>
            </w:pPr>
            <w:r>
              <w:rPr>
                <w:rFonts w:hint="eastAsia" w:ascii="仿宋_GB2312" w:hAnsi="宋体" w:eastAsia="仿宋_GB2312"/>
                <w:b/>
                <w:sz w:val="24"/>
                <w:szCs w:val="24"/>
              </w:rPr>
              <w:t>标注标准为QB/T 2947.3-2008测试项目：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外观</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极性标志</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外形尺寸</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重量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标志和代号</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开路电压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工作电流</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常温容量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低温容量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高温容量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I</w:t>
            </w:r>
            <w:r>
              <w:rPr>
                <w:rFonts w:hint="eastAsia" w:ascii="仿宋_GB2312" w:hAnsi="宋体" w:eastAsia="仿宋_GB2312"/>
                <w:sz w:val="24"/>
                <w:szCs w:val="24"/>
                <w:vertAlign w:val="subscript"/>
              </w:rPr>
              <w:t>2</w:t>
            </w:r>
            <w:r>
              <w:rPr>
                <w:rFonts w:hint="eastAsia" w:ascii="仿宋_GB2312" w:hAnsi="宋体" w:eastAsia="仿宋_GB2312"/>
                <w:sz w:val="24"/>
                <w:szCs w:val="24"/>
              </w:rPr>
              <w:t>(A)倍率放电容量</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5.1.2.3.4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6.1.2.3.4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荷电保持能力</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循环寿命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耐振动性能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短路</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16</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5.1.6.2</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6.1.6.2</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17</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过放电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5.1.6.3</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6.1.6.3</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18</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恒温湿热</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5.1.6.4</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6.1.6.4</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19</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高低温冲击</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5.1.6.5</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6.1.6.5</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20</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浸水</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5.1.6.6</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6.1.6.6</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21</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自由跌落</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5.1.6.7</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6.1.6.7</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22</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反充电</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5.1.6.8</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6.1.6.8</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23</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130℃高温</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5.1.6.9</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6.1.6.9</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24</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穿刺</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5.1.6.10</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6.1.6.10</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25</w:t>
            </w:r>
          </w:p>
        </w:tc>
        <w:tc>
          <w:tcPr>
            <w:tcW w:w="2020"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挤压</w:t>
            </w:r>
          </w:p>
        </w:tc>
        <w:tc>
          <w:tcPr>
            <w:tcW w:w="233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5.1.6.11</w:t>
            </w:r>
          </w:p>
        </w:tc>
        <w:tc>
          <w:tcPr>
            <w:tcW w:w="992"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推荐性</w:t>
            </w:r>
          </w:p>
        </w:tc>
        <w:tc>
          <w:tcPr>
            <w:tcW w:w="2309"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QB/T 2947.3-2008</w:t>
            </w:r>
          </w:p>
          <w:p>
            <w:pPr>
              <w:pStyle w:val="4"/>
              <w:snapToGrid w:val="0"/>
              <w:jc w:val="center"/>
              <w:rPr>
                <w:rFonts w:ascii="仿宋_GB2312" w:hAnsi="宋体" w:eastAsia="仿宋_GB2312"/>
                <w:sz w:val="24"/>
                <w:szCs w:val="24"/>
              </w:rPr>
            </w:pPr>
            <w:r>
              <w:rPr>
                <w:rFonts w:hint="eastAsia" w:ascii="仿宋_GB2312" w:hAnsi="宋体" w:eastAsia="仿宋_GB2312"/>
                <w:sz w:val="24"/>
                <w:szCs w:val="24"/>
              </w:rPr>
              <w:t xml:space="preserve"> 6.1.6.11</w:t>
            </w:r>
          </w:p>
        </w:tc>
        <w:tc>
          <w:tcPr>
            <w:tcW w:w="1143" w:type="dxa"/>
            <w:noWrap w:val="0"/>
            <w:vAlign w:val="center"/>
          </w:tcPr>
          <w:p>
            <w:pPr>
              <w:pStyle w:val="4"/>
              <w:snapToGrid w:val="0"/>
              <w:jc w:val="center"/>
              <w:rPr>
                <w:rFonts w:ascii="仿宋_GB2312" w:hAnsi="宋体" w:eastAsia="仿宋_GB2312"/>
                <w:sz w:val="24"/>
                <w:szCs w:val="24"/>
              </w:rPr>
            </w:pPr>
            <w:r>
              <w:rPr>
                <w:rFonts w:hint="eastAsia" w:ascii="仿宋_GB2312" w:hAnsi="宋体"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7" w:type="dxa"/>
            <w:gridSpan w:val="6"/>
            <w:noWrap w:val="0"/>
            <w:vAlign w:val="center"/>
          </w:tcPr>
          <w:p>
            <w:pPr>
              <w:pStyle w:val="4"/>
              <w:snapToGrid w:val="0"/>
              <w:jc w:val="left"/>
              <w:rPr>
                <w:rFonts w:ascii="仿宋_GB2312" w:hAnsi="宋体" w:eastAsia="仿宋_GB2312"/>
                <w:sz w:val="24"/>
                <w:szCs w:val="24"/>
              </w:rPr>
            </w:pPr>
            <w:r>
              <w:rPr>
                <w:rFonts w:hint="eastAsia" w:ascii="仿宋_GB2312" w:hAnsi="宋体" w:eastAsia="仿宋_GB2312"/>
                <w:sz w:val="24"/>
                <w:szCs w:val="24"/>
              </w:rPr>
              <w:t>注：第24、25项检测为检测“单体电池”，各检测5个单体电池；其余所有项目为检测“蓄电池组”。</w:t>
            </w:r>
          </w:p>
        </w:tc>
      </w:tr>
    </w:tbl>
    <w:p>
      <w:pPr>
        <w:snapToGrid w:val="0"/>
        <w:jc w:val="center"/>
        <w:rPr>
          <w:rFonts w:ascii="黑体" w:hAnsi="黑体" w:eastAsia="黑体"/>
          <w:sz w:val="28"/>
          <w:szCs w:val="28"/>
        </w:rPr>
      </w:pPr>
      <w:r>
        <w:rPr>
          <w:rFonts w:hint="eastAsia" w:ascii="黑体" w:hAnsi="黑体" w:eastAsia="黑体"/>
          <w:sz w:val="28"/>
          <w:szCs w:val="28"/>
        </w:rPr>
        <w:t>表8 电动自行车用电池充电器检验项目、依据及方法等要求</w:t>
      </w:r>
    </w:p>
    <w:tbl>
      <w:tblPr>
        <w:tblStyle w:val="5"/>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678"/>
        <w:gridCol w:w="2664"/>
        <w:gridCol w:w="939"/>
        <w:gridCol w:w="270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66"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序号</w:t>
            </w:r>
          </w:p>
        </w:tc>
        <w:tc>
          <w:tcPr>
            <w:tcW w:w="1678"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检验项目</w:t>
            </w:r>
          </w:p>
        </w:tc>
        <w:tc>
          <w:tcPr>
            <w:tcW w:w="2664"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依据法律法规</w:t>
            </w:r>
          </w:p>
          <w:p>
            <w:pPr>
              <w:snapToGrid w:val="0"/>
              <w:spacing w:line="280" w:lineRule="exact"/>
              <w:jc w:val="center"/>
              <w:rPr>
                <w:rFonts w:ascii="黑体" w:hAnsi="黑体" w:eastAsia="黑体"/>
                <w:sz w:val="24"/>
              </w:rPr>
            </w:pPr>
            <w:r>
              <w:rPr>
                <w:rFonts w:hint="eastAsia" w:ascii="黑体" w:hAnsi="黑体" w:eastAsia="黑体"/>
                <w:sz w:val="24"/>
              </w:rPr>
              <w:t>或标准条款</w:t>
            </w:r>
          </w:p>
        </w:tc>
        <w:tc>
          <w:tcPr>
            <w:tcW w:w="939" w:type="dxa"/>
            <w:noWrap w:val="0"/>
            <w:vAlign w:val="center"/>
          </w:tcPr>
          <w:p>
            <w:pPr>
              <w:pStyle w:val="4"/>
              <w:snapToGrid w:val="0"/>
              <w:spacing w:line="240" w:lineRule="exact"/>
              <w:jc w:val="center"/>
              <w:rPr>
                <w:rFonts w:ascii="黑体" w:hAnsi="黑体" w:eastAsia="黑体"/>
                <w:sz w:val="24"/>
                <w:szCs w:val="24"/>
              </w:rPr>
            </w:pPr>
            <w:r>
              <w:rPr>
                <w:rFonts w:hint="eastAsia" w:ascii="黑体" w:hAnsi="黑体" w:eastAsia="黑体"/>
                <w:sz w:val="24"/>
                <w:szCs w:val="24"/>
              </w:rPr>
              <w:t>强制/推荐性</w:t>
            </w:r>
          </w:p>
        </w:tc>
        <w:tc>
          <w:tcPr>
            <w:tcW w:w="2704"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检测方法</w:t>
            </w:r>
          </w:p>
        </w:tc>
        <w:tc>
          <w:tcPr>
            <w:tcW w:w="918" w:type="dxa"/>
            <w:noWrap w:val="0"/>
            <w:vAlign w:val="center"/>
          </w:tcPr>
          <w:p>
            <w:pPr>
              <w:snapToGrid w:val="0"/>
              <w:spacing w:line="280" w:lineRule="exact"/>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69" w:type="dxa"/>
            <w:gridSpan w:val="6"/>
            <w:noWrap w:val="0"/>
            <w:vAlign w:val="center"/>
          </w:tcPr>
          <w:p>
            <w:pPr>
              <w:jc w:val="left"/>
              <w:rPr>
                <w:rFonts w:ascii="仿宋_GB2312" w:hAnsi="宋体" w:eastAsia="仿宋_GB2312"/>
                <w:b/>
                <w:bCs/>
                <w:sz w:val="24"/>
              </w:rPr>
            </w:pPr>
            <w:r>
              <w:rPr>
                <w:rFonts w:hint="eastAsia" w:ascii="仿宋_GB2312" w:hAnsi="宋体" w:eastAsia="仿宋_GB2312"/>
                <w:b/>
                <w:bCs/>
                <w:sz w:val="24"/>
              </w:rPr>
              <w:t>标注标准为QB/T</w:t>
            </w:r>
            <w:r>
              <w:rPr>
                <w:rFonts w:ascii="仿宋_GB2312" w:hAnsi="宋体" w:eastAsia="仿宋_GB2312"/>
                <w:b/>
                <w:bCs/>
                <w:sz w:val="24"/>
              </w:rPr>
              <w:t>247.1-2008</w:t>
            </w:r>
            <w:r>
              <w:rPr>
                <w:rFonts w:hint="eastAsia" w:ascii="仿宋_GB2312" w:hAnsi="宋体" w:eastAsia="仿宋_GB2312"/>
                <w:b/>
                <w:bCs/>
                <w:sz w:val="24"/>
              </w:rPr>
              <w:t>/ QB/T</w:t>
            </w:r>
            <w:r>
              <w:rPr>
                <w:rFonts w:ascii="仿宋_GB2312" w:hAnsi="宋体" w:eastAsia="仿宋_GB2312"/>
                <w:b/>
                <w:bCs/>
                <w:sz w:val="24"/>
              </w:rPr>
              <w:t>247.</w:t>
            </w:r>
            <w:r>
              <w:rPr>
                <w:rFonts w:hint="eastAsia" w:ascii="仿宋_GB2312" w:hAnsi="宋体" w:eastAsia="仿宋_GB2312"/>
                <w:b/>
                <w:bCs/>
                <w:sz w:val="24"/>
              </w:rPr>
              <w:t>2</w:t>
            </w:r>
            <w:r>
              <w:rPr>
                <w:rFonts w:ascii="仿宋_GB2312" w:hAnsi="宋体" w:eastAsia="仿宋_GB2312"/>
                <w:b/>
                <w:bCs/>
                <w:sz w:val="24"/>
              </w:rPr>
              <w:t>-2008</w:t>
            </w:r>
            <w:r>
              <w:rPr>
                <w:rFonts w:hint="eastAsia" w:ascii="仿宋_GB2312" w:hAnsi="宋体" w:eastAsia="仿宋_GB2312"/>
                <w:b/>
                <w:bCs/>
                <w:sz w:val="24"/>
              </w:rPr>
              <w:t>/ QB/T</w:t>
            </w:r>
            <w:r>
              <w:rPr>
                <w:rFonts w:ascii="仿宋_GB2312" w:hAnsi="宋体" w:eastAsia="仿宋_GB2312"/>
                <w:b/>
                <w:bCs/>
                <w:sz w:val="24"/>
              </w:rPr>
              <w:t>247.</w:t>
            </w:r>
            <w:r>
              <w:rPr>
                <w:rFonts w:hint="eastAsia" w:ascii="仿宋_GB2312" w:hAnsi="宋体" w:eastAsia="仿宋_GB2312"/>
                <w:b/>
                <w:bCs/>
                <w:sz w:val="24"/>
              </w:rPr>
              <w:t>3</w:t>
            </w:r>
            <w:r>
              <w:rPr>
                <w:rFonts w:ascii="仿宋_GB2312" w:hAnsi="宋体" w:eastAsia="仿宋_GB2312"/>
                <w:b/>
                <w:bCs/>
                <w:sz w:val="24"/>
              </w:rPr>
              <w:t>-2008</w:t>
            </w:r>
            <w:r>
              <w:rPr>
                <w:rFonts w:hint="eastAsia" w:ascii="仿宋_GB2312" w:hAnsi="宋体" w:eastAsia="仿宋_GB2312"/>
                <w:b/>
                <w:bCs/>
                <w:sz w:val="24"/>
              </w:rPr>
              <w:t>/</w:t>
            </w:r>
            <w:r>
              <w:rPr>
                <w:rFonts w:ascii="仿宋_GB2312" w:eastAsia="仿宋_GB2312"/>
                <w:b/>
                <w:bCs/>
                <w:sz w:val="24"/>
              </w:rPr>
              <w:t>GB4706.18-2014</w:t>
            </w:r>
            <w:r>
              <w:rPr>
                <w:rFonts w:hint="eastAsia" w:ascii="仿宋_GB2312" w:eastAsia="仿宋_GB2312"/>
                <w:b/>
                <w:bCs/>
                <w:sz w:val="24"/>
              </w:rPr>
              <w:t>的</w:t>
            </w:r>
            <w:r>
              <w:rPr>
                <w:rFonts w:hint="eastAsia" w:ascii="仿宋_GB2312" w:hAnsi="宋体" w:eastAsia="仿宋_GB2312"/>
                <w:b/>
                <w:bCs/>
                <w:sz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对触及带电部件的防护</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8.1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8.1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输入功率和电流</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78" w:type="dxa"/>
            <w:noWrap w:val="0"/>
            <w:vAlign w:val="center"/>
          </w:tcPr>
          <w:p>
            <w:pPr>
              <w:jc w:val="center"/>
              <w:rPr>
                <w:rFonts w:ascii="仿宋_GB2312" w:eastAsia="仿宋_GB2312"/>
                <w:sz w:val="24"/>
              </w:rPr>
            </w:pPr>
            <w:r>
              <w:rPr>
                <w:rFonts w:hint="eastAsia" w:ascii="仿宋_GB2312" w:eastAsia="仿宋_GB2312"/>
                <w:sz w:val="24"/>
              </w:rPr>
              <w:t>空载直流电压</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10.101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10.101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发热</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泄漏电流、电气强度</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p>
          <w:p>
            <w:pPr>
              <w:jc w:val="center"/>
              <w:rPr>
                <w:rFonts w:ascii="仿宋_GB2312" w:hAnsi="宋体" w:eastAsia="仿宋_GB2312" w:cs="宋体"/>
                <w:sz w:val="24"/>
              </w:rPr>
            </w:pPr>
            <w:r>
              <w:rPr>
                <w:rFonts w:hint="eastAsia" w:ascii="仿宋_GB2312" w:eastAsia="仿宋_GB2312"/>
                <w:sz w:val="24"/>
              </w:rPr>
              <w:t>13.2-3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p>
          <w:p>
            <w:pPr>
              <w:jc w:val="center"/>
              <w:rPr>
                <w:rFonts w:ascii="仿宋_GB2312" w:hAnsi="宋体" w:eastAsia="仿宋_GB2312" w:cs="宋体"/>
                <w:sz w:val="24"/>
              </w:rPr>
            </w:pPr>
            <w:r>
              <w:rPr>
                <w:rFonts w:hint="eastAsia" w:ascii="仿宋_GB2312" w:eastAsia="仿宋_GB2312"/>
                <w:sz w:val="24"/>
              </w:rPr>
              <w:t>13.2-3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过载保护</w:t>
            </w:r>
          </w:p>
        </w:tc>
        <w:tc>
          <w:tcPr>
            <w:tcW w:w="266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17</w:t>
            </w:r>
            <w:r>
              <w:rPr>
                <w:rFonts w:ascii="仿宋_GB2312" w:hAnsi="宋体" w:eastAsia="仿宋_GB2312" w:cs="宋体"/>
                <w:sz w:val="24"/>
              </w:rPr>
              <w:t xml:space="preserve"> </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17</w:t>
            </w:r>
            <w:r>
              <w:rPr>
                <w:rFonts w:ascii="仿宋_GB2312" w:hAnsi="宋体" w:eastAsia="仿宋_GB2312" w:cs="宋体"/>
                <w:sz w:val="24"/>
              </w:rPr>
              <w:t xml:space="preserve"> </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机械强度（不测21.101）</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8</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内部布线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23</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hAnsi="宋体" w:eastAsia="仿宋_GB2312" w:cs="宋体"/>
                <w:sz w:val="24"/>
              </w:rPr>
            </w:pPr>
            <w:r>
              <w:rPr>
                <w:rFonts w:ascii="仿宋_GB2312" w:eastAsia="仿宋_GB2312"/>
                <w:sz w:val="24"/>
              </w:rPr>
              <w:t>GB 4706.18-2014</w:t>
            </w:r>
            <w:r>
              <w:rPr>
                <w:rFonts w:hint="eastAsia" w:ascii="仿宋_GB2312" w:eastAsia="仿宋_GB2312"/>
                <w:sz w:val="24"/>
              </w:rPr>
              <w:t xml:space="preserve"> 23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输入、输出线及插头</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5.2.8</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6.2.8</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10</w:t>
            </w:r>
          </w:p>
        </w:tc>
        <w:tc>
          <w:tcPr>
            <w:tcW w:w="1678"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安全标志</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39" w:type="dxa"/>
            <w:tcBorders>
              <w:top w:val="single" w:color="auto" w:sz="4" w:space="0"/>
              <w:left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5.2.9</w:t>
            </w:r>
          </w:p>
        </w:tc>
        <w:tc>
          <w:tcPr>
            <w:tcW w:w="939"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hAnsi="仿宋" w:eastAsia="仿宋_GB2312"/>
                <w:sz w:val="24"/>
              </w:rPr>
              <w:t>推荐性</w:t>
            </w:r>
          </w:p>
        </w:tc>
        <w:tc>
          <w:tcPr>
            <w:tcW w:w="2704"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6.2.9</w:t>
            </w:r>
          </w:p>
        </w:tc>
        <w:tc>
          <w:tcPr>
            <w:tcW w:w="91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restart"/>
            <w:tcBorders>
              <w:top w:val="single" w:color="auto" w:sz="4" w:space="0"/>
              <w:left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11</w:t>
            </w:r>
          </w:p>
        </w:tc>
        <w:tc>
          <w:tcPr>
            <w:tcW w:w="1678" w:type="dxa"/>
            <w:vMerge w:val="restart"/>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说明书</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39" w:type="dxa"/>
            <w:tcBorders>
              <w:top w:val="single" w:color="auto" w:sz="4" w:space="0"/>
              <w:left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强制性</w:t>
            </w:r>
          </w:p>
        </w:tc>
        <w:tc>
          <w:tcPr>
            <w:tcW w:w="2704" w:type="dxa"/>
            <w:tcBorders>
              <w:top w:val="single" w:color="auto" w:sz="4" w:space="0"/>
              <w:left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 4706.1-2005</w:t>
            </w:r>
            <w:r>
              <w:rPr>
                <w:rFonts w:hint="eastAsia" w:ascii="仿宋_GB2312" w:eastAsia="仿宋_GB2312"/>
                <w:sz w:val="24"/>
              </w:rPr>
              <w:t>、</w:t>
            </w:r>
          </w:p>
          <w:p>
            <w:pPr>
              <w:jc w:val="center"/>
              <w:rPr>
                <w:rFonts w:ascii="仿宋_GB2312" w:eastAsia="仿宋_GB2312"/>
                <w:sz w:val="24"/>
              </w:rPr>
            </w:pPr>
            <w:r>
              <w:rPr>
                <w:rFonts w:ascii="仿宋_GB2312" w:eastAsia="仿宋_GB2312"/>
                <w:sz w:val="24"/>
              </w:rPr>
              <w:t>GB 4706.18-2005</w:t>
            </w:r>
            <w:r>
              <w:rPr>
                <w:rFonts w:hint="eastAsia" w:ascii="仿宋_GB2312" w:eastAsia="仿宋_GB2312"/>
                <w:sz w:val="24"/>
              </w:rPr>
              <w:t>/</w:t>
            </w:r>
            <w:r>
              <w:rPr>
                <w:rFonts w:ascii="仿宋_GB2312" w:eastAsia="仿宋_GB2312"/>
                <w:sz w:val="24"/>
              </w:rPr>
              <w:t xml:space="preserve"> </w:t>
            </w:r>
          </w:p>
          <w:p>
            <w:pPr>
              <w:jc w:val="center"/>
              <w:rPr>
                <w:rFonts w:ascii="仿宋_GB2312" w:eastAsia="仿宋_GB2312"/>
                <w:sz w:val="24"/>
              </w:rPr>
            </w:pPr>
            <w:r>
              <w:rPr>
                <w:rFonts w:ascii="仿宋_GB2312" w:eastAsia="仿宋_GB2312"/>
                <w:sz w:val="24"/>
              </w:rPr>
              <w:t>GB 4706.18-2014</w:t>
            </w:r>
            <w:r>
              <w:rPr>
                <w:rFonts w:hint="eastAsia" w:ascii="仿宋_GB2312" w:eastAsia="仿宋_GB2312"/>
                <w:sz w:val="24"/>
              </w:rPr>
              <w:t xml:space="preserve"> 7</w:t>
            </w:r>
          </w:p>
        </w:tc>
        <w:tc>
          <w:tcPr>
            <w:tcW w:w="91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vMerge w:val="continue"/>
            <w:tcBorders>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p>
        </w:tc>
        <w:tc>
          <w:tcPr>
            <w:tcW w:w="1678" w:type="dxa"/>
            <w:vMerge w:val="continue"/>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5.2.10</w:t>
            </w:r>
          </w:p>
        </w:tc>
        <w:tc>
          <w:tcPr>
            <w:tcW w:w="939"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hAnsi="仿宋" w:eastAsia="仿宋_GB2312"/>
                <w:sz w:val="24"/>
              </w:rPr>
              <w:t>推荐性</w:t>
            </w:r>
          </w:p>
        </w:tc>
        <w:tc>
          <w:tcPr>
            <w:tcW w:w="2704" w:type="dxa"/>
            <w:tcBorders>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QB/T 2947.1-2008 6.2.10</w:t>
            </w:r>
          </w:p>
        </w:tc>
        <w:tc>
          <w:tcPr>
            <w:tcW w:w="918" w:type="dxa"/>
            <w:vMerge w:val="continue"/>
            <w:tcBorders>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69" w:type="dxa"/>
            <w:gridSpan w:val="6"/>
            <w:noWrap w:val="0"/>
            <w:vAlign w:val="center"/>
          </w:tcPr>
          <w:p>
            <w:pPr>
              <w:jc w:val="left"/>
              <w:rPr>
                <w:rFonts w:ascii="仿宋_GB2312" w:hAnsi="宋体" w:eastAsia="仿宋_GB2312"/>
                <w:b/>
                <w:bCs/>
                <w:sz w:val="24"/>
              </w:rPr>
            </w:pPr>
            <w:r>
              <w:rPr>
                <w:rFonts w:hint="eastAsia" w:ascii="仿宋_GB2312" w:hAnsi="宋体" w:eastAsia="仿宋_GB2312"/>
                <w:b/>
                <w:bCs/>
                <w:sz w:val="24"/>
              </w:rPr>
              <w:t>标注标准为</w:t>
            </w:r>
            <w:r>
              <w:rPr>
                <w:rFonts w:ascii="仿宋_GB2312" w:hAnsi="宋体" w:eastAsia="仿宋_GB2312"/>
                <w:b/>
                <w:bCs/>
                <w:sz w:val="24"/>
              </w:rPr>
              <w:t>GB/T 36944-2018</w:t>
            </w:r>
            <w:r>
              <w:rPr>
                <w:rFonts w:hint="eastAsia" w:ascii="仿宋_GB2312" w:eastAsia="仿宋_GB2312"/>
                <w:b/>
                <w:bCs/>
                <w:sz w:val="24"/>
              </w:rPr>
              <w:t>的</w:t>
            </w:r>
            <w:r>
              <w:rPr>
                <w:rFonts w:hint="eastAsia" w:ascii="仿宋_GB2312" w:hAnsi="宋体" w:eastAsia="仿宋_GB2312"/>
                <w:b/>
                <w:bCs/>
                <w:sz w:val="24"/>
              </w:rPr>
              <w:t>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输入电流</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5.1.1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6.1.1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电源适应性</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5.1.2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6.1.2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外壳冲击</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5.2.1.1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w:t>
            </w:r>
            <w:r>
              <w:rPr>
                <w:rFonts w:hint="eastAsia" w:ascii="仿宋_GB2312" w:eastAsia="仿宋_GB2312"/>
                <w:sz w:val="24"/>
              </w:rPr>
              <w:t xml:space="preserve"> </w:t>
            </w:r>
            <w:r>
              <w:rPr>
                <w:rFonts w:ascii="仿宋_GB2312" w:eastAsia="仿宋_GB2312"/>
                <w:sz w:val="24"/>
              </w:rPr>
              <w:t>36944-2018</w:t>
            </w:r>
            <w:r>
              <w:rPr>
                <w:rFonts w:hint="eastAsia" w:ascii="仿宋_GB2312" w:eastAsia="仿宋_GB2312"/>
                <w:sz w:val="24"/>
              </w:rPr>
              <w:t xml:space="preserve"> </w:t>
            </w:r>
            <w:r>
              <w:rPr>
                <w:rFonts w:ascii="仿宋_GB2312" w:eastAsia="仿宋_GB2312"/>
                <w:sz w:val="24"/>
              </w:rPr>
              <w:t>6.2.1.1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4</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泄漏电流</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5</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电气强度</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6</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爬电距离和电气间隙</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7</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防触电保护</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5.3.4</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6.3.4</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ascii="仿宋_GB2312" w:hAnsi="宋体" w:eastAsia="仿宋_GB2312"/>
                <w:sz w:val="24"/>
                <w:szCs w:val="24"/>
              </w:rPr>
              <w:t>8</w:t>
            </w:r>
          </w:p>
        </w:tc>
        <w:tc>
          <w:tcPr>
            <w:tcW w:w="1678" w:type="dxa"/>
            <w:noWrap w:val="0"/>
            <w:vAlign w:val="center"/>
          </w:tcPr>
          <w:p>
            <w:pPr>
              <w:jc w:val="center"/>
              <w:rPr>
                <w:rFonts w:ascii="仿宋_GB2312" w:hAnsi="宋体" w:eastAsia="仿宋_GB2312" w:cs="宋体"/>
                <w:sz w:val="24"/>
              </w:rPr>
            </w:pPr>
            <w:r>
              <w:rPr>
                <w:rFonts w:hint="eastAsia" w:ascii="仿宋_GB2312" w:eastAsia="仿宋_GB2312"/>
                <w:sz w:val="24"/>
              </w:rPr>
              <w:t>发热</w:t>
            </w:r>
          </w:p>
        </w:tc>
        <w:tc>
          <w:tcPr>
            <w:tcW w:w="266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5.3.5</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6.3.5</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9</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非正常工作</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5.3.6</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6.3.6</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0</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过充切断</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5.3.8.1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6.3.8.1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1</w:t>
            </w:r>
          </w:p>
        </w:tc>
        <w:tc>
          <w:tcPr>
            <w:tcW w:w="1678" w:type="dxa"/>
            <w:tcBorders>
              <w:bottom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延时切断</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5.3.9</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6.3.9</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2</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电源端子骚扰电压</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5.4.5.1</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6.4.5.1</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3</w:t>
            </w:r>
          </w:p>
        </w:tc>
        <w:tc>
          <w:tcPr>
            <w:tcW w:w="1678" w:type="dxa"/>
            <w:noWrap w:val="0"/>
            <w:vAlign w:val="center"/>
          </w:tcPr>
          <w:p>
            <w:pPr>
              <w:jc w:val="center"/>
              <w:rPr>
                <w:rFonts w:ascii="仿宋_GB2312" w:hAnsi="宋体" w:eastAsia="仿宋_GB2312" w:cs="宋体"/>
                <w:sz w:val="24"/>
              </w:rPr>
            </w:pPr>
            <w:r>
              <w:rPr>
                <w:rFonts w:hint="eastAsia" w:ascii="仿宋_GB2312" w:hAnsi="宋体" w:eastAsia="仿宋_GB2312" w:cs="宋体"/>
                <w:sz w:val="24"/>
              </w:rPr>
              <w:t>骚扰功率</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5.4.5.2</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6.4.5.2</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4</w:t>
            </w:r>
          </w:p>
        </w:tc>
        <w:tc>
          <w:tcPr>
            <w:tcW w:w="1678" w:type="dxa"/>
            <w:tcBorders>
              <w:bottom w:val="single" w:color="auto" w:sz="4" w:space="0"/>
            </w:tcBorders>
            <w:noWrap w:val="0"/>
            <w:vAlign w:val="center"/>
          </w:tcPr>
          <w:p>
            <w:pPr>
              <w:jc w:val="center"/>
              <w:rPr>
                <w:rFonts w:ascii="仿宋_GB2312" w:hAnsi="宋体" w:eastAsia="仿宋_GB2312" w:cs="宋体"/>
                <w:sz w:val="24"/>
              </w:rPr>
            </w:pPr>
            <w:r>
              <w:rPr>
                <w:rFonts w:hint="eastAsia" w:ascii="仿宋_GB2312" w:hAnsi="宋体" w:eastAsia="仿宋_GB2312" w:cs="宋体"/>
                <w:sz w:val="24"/>
              </w:rPr>
              <w:t>谐波电流</w:t>
            </w:r>
          </w:p>
        </w:tc>
        <w:tc>
          <w:tcPr>
            <w:tcW w:w="266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5.4.5.3</w:t>
            </w:r>
          </w:p>
        </w:tc>
        <w:tc>
          <w:tcPr>
            <w:tcW w:w="939" w:type="dxa"/>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6.4.5.3</w:t>
            </w:r>
          </w:p>
        </w:tc>
        <w:tc>
          <w:tcPr>
            <w:tcW w:w="918" w:type="dxa"/>
            <w:noWrap w:val="0"/>
            <w:vAlign w:val="center"/>
          </w:tcPr>
          <w:p>
            <w:pPr>
              <w:jc w:val="center"/>
              <w:rPr>
                <w:rFonts w:ascii="仿宋_GB2312" w:hAnsi="宋体" w:eastAsia="仿宋_GB2312"/>
                <w:sz w:val="24"/>
              </w:rPr>
            </w:pPr>
            <w:r>
              <w:rPr>
                <w:rFonts w:hint="eastAsia" w:ascii="仿宋_GB2312" w:hAnsi="宋体" w:eastAsia="仿宋_GB2312"/>
                <w:sz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5</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结构</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6</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hint="eastAsia" w:ascii="仿宋_GB2312" w:eastAsia="仿宋_GB2312"/>
                <w:sz w:val="24"/>
              </w:rPr>
              <w:t>内部布线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5.5.2</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电源软线</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5.5.3</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6.5.3</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8</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元件</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5.5.4</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6.5.4</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1</w:t>
            </w:r>
            <w:r>
              <w:rPr>
                <w:rFonts w:ascii="仿宋_GB2312" w:hAnsi="宋体" w:eastAsia="仿宋_GB2312"/>
                <w:sz w:val="24"/>
                <w:szCs w:val="24"/>
              </w:rPr>
              <w:t>9</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熔断器</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5.5.5</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6.5.5</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0</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标志</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8.1</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8.1</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pStyle w:val="4"/>
              <w:snapToGrid w:val="0"/>
              <w:spacing w:line="500" w:lineRule="exact"/>
              <w:jc w:val="center"/>
              <w:rPr>
                <w:rFonts w:ascii="仿宋_GB2312" w:hAnsi="宋体" w:eastAsia="仿宋_GB2312"/>
                <w:sz w:val="24"/>
                <w:szCs w:val="24"/>
              </w:rPr>
            </w:pPr>
            <w:r>
              <w:rPr>
                <w:rFonts w:hint="eastAsia" w:ascii="仿宋_GB2312" w:hAnsi="宋体" w:eastAsia="仿宋_GB2312"/>
                <w:sz w:val="24"/>
                <w:szCs w:val="24"/>
              </w:rPr>
              <w:t>2</w:t>
            </w:r>
            <w:r>
              <w:rPr>
                <w:rFonts w:ascii="仿宋_GB2312" w:hAnsi="宋体" w:eastAsia="仿宋_GB2312"/>
                <w:sz w:val="24"/>
                <w:szCs w:val="24"/>
              </w:rPr>
              <w:t>1</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说明书</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8.2</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7" w:leftChars="32" w:right="82" w:rightChars="39" w:firstLine="48" w:firstLineChars="20"/>
              <w:jc w:val="center"/>
              <w:rPr>
                <w:rFonts w:ascii="仿宋_GB2312" w:hAnsi="仿宋" w:eastAsia="仿宋_GB2312"/>
                <w:sz w:val="24"/>
              </w:rPr>
            </w:pPr>
            <w:r>
              <w:rPr>
                <w:rFonts w:hint="eastAsia" w:ascii="仿宋_GB2312" w:hAnsi="仿宋" w:eastAsia="仿宋_GB2312"/>
                <w:sz w:val="24"/>
              </w:rPr>
              <w:t>推荐性</w:t>
            </w:r>
          </w:p>
        </w:tc>
        <w:tc>
          <w:tcPr>
            <w:tcW w:w="27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ascii="仿宋_GB2312" w:eastAsia="仿宋_GB2312"/>
                <w:sz w:val="24"/>
              </w:rPr>
              <w:t>GB/T 36944-2018</w:t>
            </w:r>
            <w:r>
              <w:rPr>
                <w:rFonts w:hint="eastAsia" w:ascii="仿宋_GB2312" w:eastAsia="仿宋_GB2312"/>
                <w:sz w:val="24"/>
              </w:rPr>
              <w:t xml:space="preserve"> </w:t>
            </w:r>
            <w:r>
              <w:rPr>
                <w:rFonts w:ascii="仿宋_GB2312" w:eastAsia="仿宋_GB2312"/>
                <w:sz w:val="24"/>
              </w:rPr>
              <w:t>8.2</w:t>
            </w:r>
          </w:p>
        </w:tc>
        <w:tc>
          <w:tcPr>
            <w:tcW w:w="9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原样</w:t>
            </w:r>
          </w:p>
        </w:tc>
      </w:tr>
    </w:tbl>
    <w:p/>
    <w:p>
      <w:pPr>
        <w:rPr>
          <w:rFonts w:ascii="仿宋_GB2312" w:eastAsia="仿宋_GB2312"/>
          <w:b/>
          <w:bCs/>
          <w:sz w:val="28"/>
          <w:szCs w:val="28"/>
        </w:rPr>
      </w:pPr>
      <w:r>
        <w:rPr>
          <w:rFonts w:hint="eastAsia" w:ascii="仿宋_GB2312" w:eastAsia="仿宋_GB2312"/>
          <w:b/>
          <w:bCs/>
          <w:sz w:val="28"/>
          <w:szCs w:val="28"/>
        </w:rPr>
        <w:t>6.2 检验应注意的问题</w:t>
      </w:r>
    </w:p>
    <w:p>
      <w:pPr>
        <w:snapToGrid w:val="0"/>
        <w:spacing w:line="600" w:lineRule="exact"/>
        <w:rPr>
          <w:rFonts w:ascii="仿宋_GB2312" w:hAnsi="宋体" w:eastAsia="仿宋_GB2312"/>
          <w:sz w:val="28"/>
          <w:szCs w:val="28"/>
        </w:rPr>
      </w:pPr>
      <w:r>
        <w:rPr>
          <w:rFonts w:hint="eastAsia" w:ascii="仿宋_GB2312" w:eastAsia="仿宋_GB2312" w:cs="Sim Sun"/>
          <w:b/>
          <w:kern w:val="0"/>
          <w:sz w:val="28"/>
          <w:szCs w:val="28"/>
        </w:rPr>
        <w:t>6.2.1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sz w:val="28"/>
          <w:szCs w:val="28"/>
        </w:rPr>
        <w:t>备用</w:t>
      </w:r>
      <w:r>
        <w:rPr>
          <w:rFonts w:hint="eastAsia" w:ascii="仿宋_GB2312" w:hAnsi="宋体" w:eastAsia="仿宋_GB2312"/>
          <w:iCs/>
          <w:sz w:val="28"/>
          <w:szCs w:val="28"/>
        </w:rPr>
        <w:t>样品应该贮存在阴凉、干燥、安全、避光处，在整个保存期间应保证签封完整无损。</w:t>
      </w:r>
    </w:p>
    <w:p>
      <w:pPr>
        <w:spacing w:line="600" w:lineRule="exact"/>
        <w:rPr>
          <w:rFonts w:ascii="仿宋_GB2312" w:eastAsia="仿宋_GB2312"/>
          <w:sz w:val="28"/>
          <w:szCs w:val="28"/>
        </w:rPr>
      </w:pPr>
      <w:r>
        <w:rPr>
          <w:rFonts w:hint="eastAsia" w:ascii="仿宋_GB2312" w:eastAsia="仿宋_GB2312"/>
          <w:b/>
          <w:sz w:val="28"/>
          <w:szCs w:val="28"/>
        </w:rPr>
        <w:t>6.2.2</w:t>
      </w:r>
      <w:r>
        <w:rPr>
          <w:rFonts w:hint="eastAsia" w:ascii="仿宋_GB2312" w:eastAsia="仿宋_GB2312"/>
          <w:sz w:val="28"/>
          <w:szCs w:val="28"/>
        </w:rPr>
        <w:t>若被检产品明示的质量要求高于或包含本规范中检验项目依据的标准要求时，应按被检产品明示的质量要求判定。</w:t>
      </w:r>
    </w:p>
    <w:p>
      <w:pPr>
        <w:spacing w:line="600" w:lineRule="exact"/>
        <w:rPr>
          <w:rFonts w:ascii="仿宋_GB2312" w:eastAsia="仿宋_GB2312"/>
          <w:sz w:val="28"/>
          <w:szCs w:val="28"/>
        </w:rPr>
      </w:pPr>
      <w:r>
        <w:rPr>
          <w:rFonts w:hint="eastAsia" w:ascii="仿宋_GB2312" w:eastAsia="仿宋_GB2312"/>
          <w:b/>
          <w:sz w:val="28"/>
          <w:szCs w:val="28"/>
        </w:rPr>
        <w:t>6.2.3</w:t>
      </w:r>
      <w:r>
        <w:rPr>
          <w:rFonts w:hint="eastAsia" w:ascii="仿宋_GB2312" w:eastAsia="仿宋_GB2312"/>
          <w:sz w:val="28"/>
          <w:szCs w:val="28"/>
        </w:rPr>
        <w:t>若被检产品明示的质量要求低于或缺少本规范中检验项目依据的强制性标准要求时，应按照强制性标准要求判定。</w:t>
      </w:r>
    </w:p>
    <w:p>
      <w:pPr>
        <w:spacing w:line="600" w:lineRule="exact"/>
        <w:rPr>
          <w:rFonts w:ascii="仿宋_GB2312" w:eastAsia="仿宋_GB2312"/>
          <w:sz w:val="28"/>
          <w:szCs w:val="28"/>
        </w:rPr>
      </w:pPr>
      <w:r>
        <w:rPr>
          <w:rFonts w:hint="eastAsia" w:ascii="仿宋_GB2312" w:eastAsia="仿宋_GB2312"/>
          <w:b/>
          <w:sz w:val="28"/>
          <w:szCs w:val="28"/>
        </w:rPr>
        <w:t>6.2.4</w:t>
      </w:r>
      <w:r>
        <w:rPr>
          <w:rFonts w:hint="eastAsia" w:ascii="仿宋_GB2312" w:eastAsia="仿宋_GB2312"/>
          <w:sz w:val="28"/>
          <w:szCs w:val="28"/>
        </w:rPr>
        <w:t>若被检产品明示的质量要求低于或包含本规范中检验项目依据的推荐性标准要求时，应以被检产品明示的质量要求判定。</w:t>
      </w:r>
    </w:p>
    <w:p>
      <w:pPr>
        <w:spacing w:line="600" w:lineRule="exact"/>
        <w:rPr>
          <w:rFonts w:ascii="仿宋_GB2312" w:eastAsia="仿宋_GB2312"/>
          <w:sz w:val="28"/>
          <w:szCs w:val="28"/>
        </w:rPr>
      </w:pPr>
      <w:r>
        <w:rPr>
          <w:rFonts w:hint="eastAsia" w:ascii="仿宋_GB2312" w:eastAsia="仿宋_GB2312"/>
          <w:b/>
          <w:sz w:val="28"/>
          <w:szCs w:val="28"/>
        </w:rPr>
        <w:t>6.2.5</w:t>
      </w:r>
      <w:r>
        <w:rPr>
          <w:rFonts w:hint="eastAsia" w:ascii="仿宋_GB2312" w:eastAsia="仿宋_GB2312"/>
          <w:sz w:val="28"/>
          <w:szCs w:val="28"/>
        </w:rPr>
        <w:t>若被检产品明示的质量要求缺少本规范中检验项目依据的推荐性标准要求时，该项目不参与判定，但应在检验报告备注中进行说明。</w:t>
      </w:r>
    </w:p>
    <w:p>
      <w:pPr>
        <w:pStyle w:val="3"/>
        <w:spacing w:before="0" w:after="0"/>
      </w:pPr>
      <w:r>
        <w:rPr>
          <w:rFonts w:hint="eastAsia"/>
        </w:rPr>
        <w:t>7 判定原则</w:t>
      </w:r>
    </w:p>
    <w:p>
      <w:pPr>
        <w:snapToGrid w:val="0"/>
        <w:spacing w:line="600" w:lineRule="exact"/>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pStyle w:val="3"/>
        <w:spacing w:before="0" w:after="0"/>
      </w:pPr>
      <w:r>
        <w:rPr>
          <w:rFonts w:hint="eastAsia"/>
        </w:rPr>
        <w:t>8 异议处理复检</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被抽查企业在收到检验结果，对结果有异议时，可以自收到检验结果之日起15日内向深圳市市场监督管理局提出书面复检申请。逾期未提出异议的，视为承认检验结果。</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hint="eastAsia" w:ascii="仿宋_GB2312" w:eastAsia="仿宋_GB2312" w:cs="Sim Sun"/>
          <w:iCs/>
          <w:kern w:val="0"/>
          <w:sz w:val="28"/>
          <w:szCs w:val="28"/>
        </w:rPr>
        <w:t>检验机构接到深圳市市场监督管理局的复检通知后应当按原监督抽查方案，核查不合格项目相关证据，能够以记录（纸质记录或电子记录或影像记录）、或与不合格项目相关联的其它质量数据等检验证据证明，并得到被检方认可的，做出维持原检验结果的结论。</w:t>
      </w:r>
    </w:p>
    <w:p>
      <w:pPr>
        <w:snapToGrid w:val="0"/>
        <w:spacing w:line="600" w:lineRule="exact"/>
        <w:rPr>
          <w:rFonts w:ascii="仿宋_GB2312" w:eastAsia="仿宋_GB2312" w:cs="Sim Sun"/>
          <w:iCs/>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.3</w:t>
      </w:r>
      <w:r>
        <w:rPr>
          <w:rFonts w:hint="eastAsia" w:ascii="仿宋_GB2312" w:eastAsia="仿宋_GB2312" w:cs="Sim Sun"/>
          <w:iCs/>
          <w:kern w:val="0"/>
          <w:sz w:val="28"/>
          <w:szCs w:val="28"/>
        </w:rPr>
        <w:t>复检机构与初检机构不得为同一机构，但组织监督抽查的省级以上市场监督管理部门行政区域内或者组织监督抽查的市级、县级市场监督管理部门所在省辖区内仅有一个检验机构具备相应资质的除外。</w:t>
      </w:r>
    </w:p>
    <w:p>
      <w:pPr>
        <w:snapToGrid w:val="0"/>
        <w:spacing w:line="600" w:lineRule="exact"/>
        <w:rPr>
          <w:rFonts w:ascii="仿宋_GB2312" w:eastAsia="仿宋_GB2312" w:cs="Sim Sun"/>
          <w:kern w:val="0"/>
          <w:sz w:val="28"/>
          <w:szCs w:val="28"/>
        </w:rPr>
      </w:pPr>
      <w:r>
        <w:rPr>
          <w:rFonts w:ascii="仿宋_GB2312" w:eastAsia="仿宋_GB2312" w:cs="Sim Sun"/>
          <w:b/>
          <w:bCs/>
          <w:iCs/>
          <w:kern w:val="0"/>
          <w:sz w:val="28"/>
          <w:szCs w:val="28"/>
        </w:rPr>
        <w:t xml:space="preserve">8.4 </w:t>
      </w:r>
      <w:r>
        <w:rPr>
          <w:rFonts w:hint="eastAsia" w:ascii="仿宋_GB2312" w:eastAsia="仿宋_GB2312" w:cs="Sim Sun"/>
          <w:iCs/>
          <w:kern w:val="0"/>
          <w:sz w:val="28"/>
          <w:szCs w:val="28"/>
        </w:rPr>
        <w:t>若复检机构与初检机构未同一家机构，则复验检验人员与初检检验人员不得为同一人（含审核人员）。</w:t>
      </w:r>
    </w:p>
    <w:p>
      <w:pPr>
        <w:snapToGrid w:val="0"/>
        <w:spacing w:line="600" w:lineRule="exact"/>
        <w:rPr>
          <w:rFonts w:ascii="仿宋_GB2312" w:eastAsia="仿宋_GB2312" w:cs="Sim Sun"/>
          <w:kern w:val="0"/>
          <w:sz w:val="28"/>
          <w:szCs w:val="28"/>
        </w:rPr>
      </w:pPr>
      <w:r>
        <w:rPr>
          <w:rFonts w:ascii="仿宋_GB2312" w:eastAsia="仿宋_GB2312" w:cs="Sim Sun"/>
          <w:b/>
          <w:kern w:val="0"/>
          <w:sz w:val="28"/>
          <w:szCs w:val="28"/>
        </w:rPr>
        <w:t>8</w:t>
      </w:r>
      <w:r>
        <w:rPr>
          <w:rFonts w:hint="eastAsia" w:ascii="仿宋_GB2312" w:eastAsia="仿宋_GB2312" w:cs="Sim Sun"/>
          <w:b/>
          <w:kern w:val="0"/>
          <w:sz w:val="28"/>
          <w:szCs w:val="28"/>
        </w:rPr>
        <w:t>.</w:t>
      </w:r>
      <w:r>
        <w:rPr>
          <w:rFonts w:ascii="仿宋_GB2312" w:eastAsia="仿宋_GB2312" w:cs="Sim Sun"/>
          <w:b/>
          <w:kern w:val="0"/>
          <w:sz w:val="28"/>
          <w:szCs w:val="28"/>
        </w:rPr>
        <w:t xml:space="preserve">5 </w:t>
      </w:r>
      <w:r>
        <w:rPr>
          <w:rFonts w:hint="eastAsia" w:ascii="仿宋_GB2312" w:eastAsia="仿宋_GB2312" w:cs="Sim Sun"/>
          <w:kern w:val="0"/>
          <w:sz w:val="28"/>
          <w:szCs w:val="28"/>
        </w:rPr>
        <w:t>需对不合格项目复验时，按</w:t>
      </w:r>
      <w:r>
        <w:rPr>
          <w:rFonts w:ascii="仿宋_GB2312" w:eastAsia="仿宋_GB2312" w:cs="Sim Sun"/>
          <w:kern w:val="0"/>
          <w:sz w:val="28"/>
          <w:szCs w:val="28"/>
        </w:rPr>
        <w:t>6</w:t>
      </w:r>
      <w:r>
        <w:rPr>
          <w:rFonts w:hint="eastAsia" w:ascii="仿宋_GB2312" w:eastAsia="仿宋_GB2312" w:cs="Sim Sun"/>
          <w:kern w:val="0"/>
          <w:sz w:val="28"/>
          <w:szCs w:val="28"/>
        </w:rPr>
        <w:t>.1选择复检样品。</w:t>
      </w:r>
    </w:p>
    <w:p>
      <w:pPr>
        <w:snapToGrid w:val="0"/>
        <w:spacing w:line="600" w:lineRule="exact"/>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深圳市市场监督管理局根据初检、复检结果及企业提交的证明材料，做出复检结论，复检结论为最终结论。</w:t>
      </w:r>
    </w:p>
    <w:p>
      <w:pPr>
        <w:pStyle w:val="3"/>
        <w:spacing w:before="0" w:after="0"/>
      </w:pPr>
      <w:r>
        <w:rPr>
          <w:rFonts w:hint="eastAsia"/>
        </w:rPr>
        <w:t>9</w:t>
      </w:r>
      <w:r>
        <w:rPr>
          <w:rFonts w:hint="eastAsia"/>
        </w:rPr>
        <w:tab/>
      </w:r>
      <w:r>
        <w:rPr>
          <w:rFonts w:hint="eastAsia"/>
        </w:rPr>
        <w:t>附则</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本规范编制单位：深圳市计量质量检测研究院。</w:t>
      </w:r>
    </w:p>
    <w:p>
      <w:pPr>
        <w:snapToGrid w:val="0"/>
        <w:spacing w:line="360" w:lineRule="auto"/>
        <w:ind w:firstLine="560" w:firstLineChars="200"/>
        <w:rPr>
          <w:rFonts w:ascii="仿宋_GB2312" w:hAnsi="宋体" w:eastAsia="仿宋_GB2312"/>
          <w:iCs/>
          <w:sz w:val="28"/>
          <w:szCs w:val="28"/>
        </w:rPr>
      </w:pPr>
      <w:r>
        <w:rPr>
          <w:rFonts w:hint="eastAsia" w:ascii="仿宋_GB2312" w:hAnsi="宋体" w:eastAsia="仿宋_GB2312"/>
          <w:iCs/>
          <w:sz w:val="28"/>
          <w:szCs w:val="28"/>
        </w:rPr>
        <w:t>本规范由深圳市市场监督管理局质量处管理。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D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3">
    <w:name w:val="heading 5"/>
    <w:basedOn w:val="1"/>
    <w:next w:val="1"/>
    <w:qFormat/>
    <w:uiPriority w:val="0"/>
    <w:pPr>
      <w:keepNext/>
      <w:keepLines/>
      <w:spacing w:before="280" w:after="290" w:line="376" w:lineRule="auto"/>
      <w:outlineLvl w:val="4"/>
    </w:pPr>
    <w:rPr>
      <w:rFonts w:ascii="Calibri" w:hAnsi="Calibri" w:eastAsia="仿宋_GB2312"/>
      <w:b/>
      <w:bCs/>
      <w:sz w:val="28"/>
      <w:szCs w:val="2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2020-05-28T02:12:45Z</dcterms:created>
  <dc:creator>changmy</dc:creator>
  <cp:lastModifiedBy>常孟园</cp:lastModifiedBy>
  <dcterms:modified xsi:type="dcterms:W3CDTF">2020-05-28T02:12:51Z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