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ind w:left="27"/>
        <w:jc w:val="center"/>
        <w:rPr>
          <w:rFonts w:ascii="华文中宋" w:hAnsi="华文中宋" w:eastAsia="华文中宋" w:cs="华文中宋"/>
          <w:b/>
          <w:color w:val="auto"/>
          <w:kern w:val="0"/>
          <w:sz w:val="44"/>
          <w:szCs w:val="44"/>
        </w:rPr>
      </w:pPr>
      <w:r>
        <w:rPr>
          <w:rFonts w:hint="eastAsia" w:ascii="华文中宋" w:hAnsi="华文中宋" w:eastAsia="华文中宋" w:cs="华文中宋"/>
          <w:b/>
          <w:color w:val="auto"/>
          <w:kern w:val="0"/>
          <w:sz w:val="44"/>
          <w:szCs w:val="44"/>
        </w:rPr>
        <w:t>深圳市市场监督管理局</w:t>
      </w:r>
    </w:p>
    <w:p>
      <w:pPr>
        <w:widowControl/>
        <w:adjustRightInd w:val="0"/>
        <w:snapToGrid w:val="0"/>
        <w:spacing w:line="640" w:lineRule="exact"/>
        <w:ind w:left="27"/>
        <w:jc w:val="center"/>
        <w:rPr>
          <w:rFonts w:ascii="华文中宋" w:hAnsi="华文中宋" w:eastAsia="华文中宋" w:cs="华文中宋"/>
          <w:b/>
          <w:color w:val="auto"/>
          <w:kern w:val="0"/>
          <w:sz w:val="44"/>
          <w:szCs w:val="44"/>
        </w:rPr>
      </w:pPr>
      <w:r>
        <w:rPr>
          <w:rFonts w:hint="eastAsia" w:ascii="华文中宋" w:hAnsi="华文中宋" w:eastAsia="华文中宋" w:cs="华文中宋"/>
          <w:b/>
          <w:color w:val="auto"/>
          <w:kern w:val="0"/>
          <w:sz w:val="44"/>
          <w:szCs w:val="44"/>
        </w:rPr>
        <w:t>智能坐便器产品质量监督抽查实施规范</w:t>
      </w:r>
    </w:p>
    <w:p>
      <w:pPr>
        <w:widowControl/>
        <w:adjustRightInd w:val="0"/>
        <w:snapToGrid w:val="0"/>
        <w:spacing w:line="640" w:lineRule="exact"/>
        <w:ind w:left="27"/>
        <w:jc w:val="center"/>
        <w:rPr>
          <w:rFonts w:ascii="黑体" w:hAnsi="黑体" w:eastAsia="黑体" w:cs="Times New Roman"/>
          <w:bCs/>
          <w:color w:val="auto"/>
          <w:kern w:val="0"/>
          <w:sz w:val="32"/>
          <w:szCs w:val="24"/>
        </w:rPr>
      </w:pPr>
      <w:r>
        <w:rPr>
          <w:rFonts w:hint="eastAsia" w:ascii="黑体" w:hAnsi="黑体" w:eastAsia="黑体" w:cs="Times New Roman"/>
          <w:bCs/>
          <w:color w:val="auto"/>
          <w:kern w:val="0"/>
          <w:sz w:val="32"/>
          <w:szCs w:val="24"/>
        </w:rPr>
        <w:t>（编号：</w:t>
      </w:r>
      <w:r>
        <w:rPr>
          <w:rFonts w:ascii="黑体" w:hAnsi="黑体" w:eastAsia="黑体" w:cs="Times New Roman"/>
          <w:bCs/>
          <w:color w:val="auto"/>
          <w:kern w:val="0"/>
          <w:sz w:val="32"/>
          <w:szCs w:val="24"/>
        </w:rPr>
        <w:t>CCGF-SZ-</w:t>
      </w:r>
      <w:r>
        <w:rPr>
          <w:rFonts w:hint="eastAsia" w:ascii="黑体" w:hAnsi="黑体" w:eastAsia="黑体" w:cs="Times New Roman"/>
          <w:bCs/>
          <w:color w:val="auto"/>
          <w:kern w:val="0"/>
          <w:sz w:val="32"/>
          <w:szCs w:val="24"/>
        </w:rPr>
        <w:t>1</w:t>
      </w:r>
      <w:r>
        <w:rPr>
          <w:rFonts w:hint="eastAsia" w:ascii="黑体" w:hAnsi="黑体" w:eastAsia="黑体" w:cs="Times New Roman"/>
          <w:bCs/>
          <w:color w:val="auto"/>
          <w:kern w:val="0"/>
          <w:sz w:val="32"/>
          <w:szCs w:val="24"/>
          <w:lang w:val="en-US" w:eastAsia="zh-CN"/>
        </w:rPr>
        <w:t>5</w:t>
      </w:r>
      <w:r>
        <w:rPr>
          <w:rFonts w:hint="eastAsia" w:ascii="黑体" w:hAnsi="黑体" w:eastAsia="黑体" w:cs="Times New Roman"/>
          <w:bCs/>
          <w:color w:val="auto"/>
          <w:kern w:val="0"/>
          <w:sz w:val="32"/>
          <w:szCs w:val="24"/>
        </w:rPr>
        <w:t>0</w:t>
      </w:r>
      <w:r>
        <w:rPr>
          <w:rFonts w:ascii="黑体" w:hAnsi="黑体" w:eastAsia="黑体" w:cs="Times New Roman"/>
          <w:bCs/>
          <w:color w:val="auto"/>
          <w:kern w:val="0"/>
          <w:sz w:val="32"/>
          <w:szCs w:val="24"/>
        </w:rPr>
        <w:t>-201</w:t>
      </w:r>
      <w:r>
        <w:rPr>
          <w:rFonts w:hint="eastAsia" w:ascii="黑体" w:hAnsi="黑体" w:eastAsia="黑体" w:cs="Times New Roman"/>
          <w:bCs/>
          <w:color w:val="auto"/>
          <w:kern w:val="0"/>
          <w:sz w:val="32"/>
          <w:szCs w:val="24"/>
        </w:rPr>
        <w:t>9）</w:t>
      </w:r>
    </w:p>
    <w:p>
      <w:pPr>
        <w:widowControl/>
        <w:adjustRightInd w:val="0"/>
        <w:snapToGrid w:val="0"/>
        <w:spacing w:line="640" w:lineRule="exact"/>
        <w:ind w:left="27"/>
        <w:jc w:val="center"/>
        <w:rPr>
          <w:rFonts w:ascii="黑体" w:hAnsi="黑体" w:eastAsia="黑体" w:cs="Times New Roman"/>
          <w:bCs/>
          <w:color w:val="auto"/>
          <w:kern w:val="0"/>
          <w:sz w:val="32"/>
          <w:szCs w:val="24"/>
        </w:rPr>
      </w:pP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1适用范围</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本细则适用于深圳市生产及流通领域智能坐便器产品质量监督抽查。监督抽查产品范围适用于：一体式</w:t>
      </w:r>
      <w:r>
        <w:rPr>
          <w:rFonts w:ascii="仿宋_GB2312" w:hAnsi="宋体" w:eastAsia="仿宋_GB2312" w:cs="Times New Roman"/>
          <w:color w:val="auto"/>
          <w:sz w:val="28"/>
          <w:szCs w:val="28"/>
        </w:rPr>
        <w:t>坐便器、</w:t>
      </w:r>
      <w:r>
        <w:rPr>
          <w:rFonts w:hint="eastAsia" w:ascii="仿宋_GB2312" w:hAnsi="宋体" w:eastAsia="仿宋_GB2312" w:cs="Times New Roman"/>
          <w:color w:val="auto"/>
          <w:sz w:val="28"/>
          <w:szCs w:val="28"/>
        </w:rPr>
        <w:t>分体式坐便器</w:t>
      </w:r>
      <w:r>
        <w:rPr>
          <w:rFonts w:hint="eastAsia" w:ascii="仿宋_GB2312" w:hAnsi="Times New Roman" w:eastAsia="仿宋_GB2312" w:cs="Times New Roman"/>
          <w:color w:val="auto"/>
          <w:sz w:val="28"/>
          <w:szCs w:val="28"/>
        </w:rPr>
        <w:t>等</w:t>
      </w:r>
      <w:r>
        <w:rPr>
          <w:rFonts w:hint="eastAsia" w:ascii="仿宋_GB2312" w:hAnsi="宋体" w:eastAsia="仿宋_GB2312" w:cs="Times New Roman"/>
          <w:color w:val="auto"/>
          <w:sz w:val="28"/>
          <w:szCs w:val="28"/>
        </w:rPr>
        <w:t>。</w:t>
      </w:r>
    </w:p>
    <w:p>
      <w:pPr>
        <w:snapToGrid w:val="0"/>
        <w:spacing w:line="360" w:lineRule="auto"/>
        <w:ind w:firstLine="537" w:firstLineChars="192"/>
        <w:jc w:val="left"/>
        <w:rPr>
          <w:rFonts w:ascii="Times New Roman" w:hAnsi="Times New Roman" w:eastAsia="宋体" w:cs="Times New Roman"/>
          <w:color w:val="auto"/>
          <w:szCs w:val="24"/>
        </w:rPr>
      </w:pPr>
      <w:r>
        <w:rPr>
          <w:rFonts w:hint="eastAsia" w:ascii="仿宋_GB2312" w:hAnsi="宋体" w:eastAsia="仿宋_GB2312" w:cs="Times New Roman"/>
          <w:color w:val="auto"/>
          <w:sz w:val="28"/>
          <w:szCs w:val="28"/>
        </w:rPr>
        <w:t>本细则内容包括适用范围、产品种类、术语和定义、检验依据、抽样、检验要求，判定原则及异议处理复检。</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2产品种类</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产品种类见表1。</w:t>
      </w:r>
    </w:p>
    <w:p>
      <w:pPr>
        <w:snapToGrid w:val="0"/>
        <w:spacing w:line="360" w:lineRule="auto"/>
        <w:jc w:val="center"/>
        <w:rPr>
          <w:rFonts w:ascii="黑体" w:hAnsi="黑体" w:eastAsia="黑体" w:cs="Times New Roman"/>
          <w:color w:val="auto"/>
          <w:sz w:val="28"/>
          <w:szCs w:val="28"/>
        </w:rPr>
      </w:pPr>
      <w:r>
        <w:rPr>
          <w:rFonts w:hint="eastAsia" w:ascii="黑体" w:hAnsi="黑体" w:eastAsia="黑体" w:cs="Times New Roman"/>
          <w:color w:val="auto"/>
          <w:sz w:val="28"/>
          <w:szCs w:val="28"/>
        </w:rPr>
        <w:t>表1  产品种类</w:t>
      </w:r>
    </w:p>
    <w:tbl>
      <w:tblPr>
        <w:tblStyle w:val="5"/>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2684"/>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blHeader/>
          <w:jc w:val="center"/>
        </w:trPr>
        <w:tc>
          <w:tcPr>
            <w:tcW w:w="2908"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一级分类</w:t>
            </w:r>
          </w:p>
        </w:tc>
        <w:tc>
          <w:tcPr>
            <w:tcW w:w="2684"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二级分类</w:t>
            </w:r>
          </w:p>
        </w:tc>
        <w:tc>
          <w:tcPr>
            <w:tcW w:w="3475"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908" w:type="dxa"/>
            <w:vMerge w:val="restart"/>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智能坐便器</w:t>
            </w:r>
          </w:p>
        </w:tc>
        <w:tc>
          <w:tcPr>
            <w:tcW w:w="2684"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一体式坐便器</w:t>
            </w:r>
          </w:p>
        </w:tc>
        <w:tc>
          <w:tcPr>
            <w:tcW w:w="3475" w:type="dxa"/>
            <w:vAlign w:val="center"/>
          </w:tcPr>
          <w:p>
            <w:pPr>
              <w:autoSpaceDE w:val="0"/>
              <w:autoSpaceDN w:val="0"/>
              <w:adjustRightInd w:val="0"/>
              <w:spacing w:line="300" w:lineRule="exact"/>
              <w:jc w:val="left"/>
              <w:rPr>
                <w:rFonts w:ascii="仿宋_GB2312" w:hAnsi="宋体" w:eastAsia="仿宋_GB2312" w:cs="Times New Roman"/>
                <w:color w:val="auto"/>
                <w:szCs w:val="21"/>
              </w:rPr>
            </w:pPr>
            <w:r>
              <w:rPr>
                <w:rFonts w:hint="eastAsia" w:ascii="仿宋_GB2312" w:hAnsi="宋体" w:eastAsia="仿宋_GB2312" w:cs="Times New Roman"/>
                <w:color w:val="auto"/>
                <w:szCs w:val="21"/>
              </w:rPr>
              <w:t>智能机电控制系统和坐便器不可分开使用的智能坐便器，简称为一体机。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908" w:type="dxa"/>
            <w:vMerge w:val="continue"/>
            <w:vAlign w:val="center"/>
          </w:tcPr>
          <w:p>
            <w:pPr>
              <w:autoSpaceDE w:val="0"/>
              <w:autoSpaceDN w:val="0"/>
              <w:adjustRightInd w:val="0"/>
              <w:spacing w:line="300" w:lineRule="exact"/>
              <w:jc w:val="center"/>
              <w:rPr>
                <w:rFonts w:ascii="仿宋_GB2312" w:hAnsi="宋体" w:eastAsia="仿宋_GB2312" w:cs="Times New Roman"/>
                <w:color w:val="auto"/>
                <w:sz w:val="28"/>
                <w:szCs w:val="28"/>
              </w:rPr>
            </w:pPr>
          </w:p>
        </w:tc>
        <w:tc>
          <w:tcPr>
            <w:tcW w:w="2684"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分体式坐便器</w:t>
            </w:r>
          </w:p>
        </w:tc>
        <w:tc>
          <w:tcPr>
            <w:tcW w:w="3475" w:type="dxa"/>
            <w:vAlign w:val="center"/>
          </w:tcPr>
          <w:p>
            <w:pPr>
              <w:autoSpaceDE w:val="0"/>
              <w:autoSpaceDN w:val="0"/>
              <w:adjustRightInd w:val="0"/>
              <w:spacing w:line="300" w:lineRule="exact"/>
              <w:jc w:val="left"/>
              <w:rPr>
                <w:rFonts w:ascii="仿宋_GB2312" w:hAnsi="宋体" w:eastAsia="仿宋_GB2312" w:cs="Times New Roman"/>
                <w:color w:val="auto"/>
                <w:szCs w:val="21"/>
              </w:rPr>
            </w:pPr>
            <w:r>
              <w:rPr>
                <w:rFonts w:hint="eastAsia" w:ascii="仿宋_GB2312" w:hAnsi="宋体" w:eastAsia="仿宋_GB2312" w:cs="Times New Roman"/>
                <w:color w:val="auto"/>
                <w:szCs w:val="21"/>
              </w:rPr>
              <w:t>由智能机电控制系统与坐便器独立分开，经组合后可以使用的智能坐便器盖板部分，简称智能马桶盖。</w:t>
            </w:r>
          </w:p>
        </w:tc>
      </w:tr>
    </w:tbl>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3术语和定义</w:t>
      </w:r>
    </w:p>
    <w:tbl>
      <w:tblPr>
        <w:tblStyle w:val="5"/>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blHeader/>
          <w:jc w:val="center"/>
        </w:trPr>
        <w:tc>
          <w:tcPr>
            <w:tcW w:w="2774"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产品种类</w:t>
            </w:r>
          </w:p>
        </w:tc>
        <w:tc>
          <w:tcPr>
            <w:tcW w:w="6628" w:type="dxa"/>
            <w:vAlign w:val="center"/>
          </w:tcPr>
          <w:p>
            <w:pPr>
              <w:snapToGrid w:val="0"/>
              <w:spacing w:line="300" w:lineRule="exact"/>
              <w:jc w:val="center"/>
              <w:rPr>
                <w:rFonts w:ascii="黑体" w:hAnsi="黑体" w:eastAsia="黑体" w:cs="Times New Roman"/>
                <w:color w:val="auto"/>
                <w:szCs w:val="21"/>
              </w:rPr>
            </w:pPr>
            <w:r>
              <w:rPr>
                <w:rFonts w:hint="eastAsia" w:ascii="黑体" w:hAnsi="黑体" w:eastAsia="黑体" w:cs="Times New Roman"/>
                <w:color w:val="auto"/>
                <w:szCs w:val="21"/>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774" w:type="dxa"/>
            <w:vAlign w:val="center"/>
          </w:tcPr>
          <w:p>
            <w:pPr>
              <w:autoSpaceDE w:val="0"/>
              <w:autoSpaceDN w:val="0"/>
              <w:adjustRightInd w:val="0"/>
              <w:spacing w:line="300" w:lineRule="exact"/>
              <w:jc w:val="center"/>
              <w:rPr>
                <w:rFonts w:ascii="仿宋_GB2312" w:hAnsi="宋体" w:eastAsia="仿宋_GB2312" w:cs="Times New Roman"/>
                <w:color w:val="auto"/>
                <w:szCs w:val="21"/>
              </w:rPr>
            </w:pPr>
            <w:r>
              <w:rPr>
                <w:rFonts w:ascii="仿宋_GB2312" w:hAnsi="宋体" w:eastAsia="仿宋_GB2312" w:cs="Times New Roman"/>
                <w:color w:val="auto"/>
                <w:szCs w:val="21"/>
              </w:rPr>
              <w:t>智能坐便器</w:t>
            </w:r>
          </w:p>
        </w:tc>
        <w:tc>
          <w:tcPr>
            <w:tcW w:w="6628" w:type="dxa"/>
            <w:vAlign w:val="center"/>
          </w:tcPr>
          <w:p>
            <w:pPr>
              <w:snapToGrid w:val="0"/>
              <w:spacing w:line="324" w:lineRule="auto"/>
              <w:rPr>
                <w:rFonts w:ascii="仿宋_GB2312" w:hAnsi="宋体" w:eastAsia="仿宋_GB2312" w:cs="方正仿宋简体"/>
                <w:color w:val="auto"/>
                <w:sz w:val="28"/>
                <w:szCs w:val="28"/>
              </w:rPr>
            </w:pPr>
            <w:r>
              <w:rPr>
                <w:rFonts w:hint="eastAsia" w:ascii="仿宋_GB2312" w:hAnsi="宋体" w:eastAsia="仿宋_GB2312" w:cs="Times New Roman"/>
                <w:color w:val="auto"/>
                <w:szCs w:val="21"/>
              </w:rPr>
              <w:t>指由机电系统或程序控制，完成臀部清洗功能、妇洗功能等一项以上基本智能功能的坐便器。</w:t>
            </w:r>
          </w:p>
        </w:tc>
      </w:tr>
    </w:tbl>
    <w:p>
      <w:pPr>
        <w:snapToGrid w:val="0"/>
        <w:spacing w:line="360" w:lineRule="auto"/>
        <w:jc w:val="left"/>
        <w:rPr>
          <w:rFonts w:ascii="仿宋_GB2312" w:hAnsi="宋体" w:eastAsia="仿宋_GB2312" w:cs="Times New Roman"/>
          <w:b/>
          <w:color w:val="auto"/>
          <w:sz w:val="28"/>
          <w:szCs w:val="28"/>
        </w:rPr>
      </w:pP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4检验依据</w:t>
      </w:r>
    </w:p>
    <w:tbl>
      <w:tblPr>
        <w:tblStyle w:val="5"/>
        <w:tblW w:w="8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3377"/>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32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标准号</w:t>
            </w:r>
          </w:p>
        </w:tc>
        <w:tc>
          <w:tcPr>
            <w:tcW w:w="337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标准名称</w:t>
            </w:r>
          </w:p>
        </w:tc>
        <w:tc>
          <w:tcPr>
            <w:tcW w:w="2526"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已获资质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329" w:type="dxa"/>
            <w:vAlign w:val="center"/>
          </w:tcPr>
          <w:p>
            <w:pPr>
              <w:spacing w:before="50"/>
              <w:jc w:val="center"/>
              <w:rPr>
                <w:rFonts w:ascii="仿宋_GB2312" w:hAnsi="宋体" w:eastAsia="仿宋_GB2312" w:cs="Times New Roman"/>
                <w:color w:val="auto"/>
                <w:szCs w:val="21"/>
              </w:rPr>
            </w:pPr>
            <w:r>
              <w:rPr>
                <w:rFonts w:ascii="仿宋_GB2312" w:hAnsi="宋体" w:eastAsia="仿宋_GB2312" w:cs="Times New Roman"/>
                <w:color w:val="auto"/>
                <w:szCs w:val="21"/>
              </w:rPr>
              <w:t xml:space="preserve">GB </w:t>
            </w:r>
            <w:r>
              <w:rPr>
                <w:rFonts w:hint="eastAsia" w:ascii="仿宋_GB2312" w:hAnsi="宋体" w:eastAsia="仿宋_GB2312" w:cs="Times New Roman"/>
                <w:color w:val="auto"/>
                <w:szCs w:val="21"/>
              </w:rPr>
              <w:t>4706.1-2005</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家用和类似用途电器的安全  第1部分：通用要求</w:t>
            </w:r>
          </w:p>
        </w:tc>
        <w:tc>
          <w:tcPr>
            <w:tcW w:w="2526" w:type="dxa"/>
            <w:vAlign w:val="center"/>
          </w:tcPr>
          <w:p>
            <w:pPr>
              <w:snapToGrid w:val="0"/>
              <w:jc w:val="center"/>
              <w:rPr>
                <w:rFonts w:ascii="宋体" w:hAnsi="Times New Roman" w:eastAsia="宋体" w:cs="Times New Roman"/>
                <w:color w:val="auto"/>
                <w:szCs w:val="21"/>
              </w:rPr>
            </w:pPr>
            <w:r>
              <w:rPr>
                <w:rFonts w:hint="eastAsia" w:ascii="宋体" w:hAnsi="Times New Roman" w:eastAsia="宋体"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宋体" w:hAnsi="Times New Roman" w:eastAsia="宋体" w:cs="Times New Roman"/>
                <w:color w:val="auto"/>
                <w:szCs w:val="21"/>
              </w:rPr>
              <w:sym w:font="Wingdings 2" w:char="F052"/>
            </w:r>
            <w:r>
              <w:rPr>
                <w:rFonts w:hint="eastAsia" w:ascii="仿宋_GB2312" w:hAnsi="宋体" w:eastAsia="仿宋_GB2312" w:cs="Times New Roman"/>
                <w:color w:val="auto"/>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329" w:type="dxa"/>
            <w:vAlign w:val="center"/>
          </w:tcPr>
          <w:p>
            <w:pPr>
              <w:spacing w:before="5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GB 4706.53-2008</w:t>
            </w:r>
          </w:p>
        </w:tc>
        <w:tc>
          <w:tcPr>
            <w:tcW w:w="3377"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家用和类似用途电器的安全 坐便器的特殊要求</w:t>
            </w:r>
          </w:p>
        </w:tc>
        <w:tc>
          <w:tcPr>
            <w:tcW w:w="2526" w:type="dxa"/>
            <w:vAlign w:val="center"/>
          </w:tcPr>
          <w:p>
            <w:pPr>
              <w:snapToGrid w:val="0"/>
              <w:jc w:val="center"/>
              <w:rPr>
                <w:rFonts w:ascii="宋体" w:hAnsi="Times New Roman" w:eastAsia="宋体" w:cs="Times New Roman"/>
                <w:color w:val="auto"/>
                <w:szCs w:val="21"/>
              </w:rPr>
            </w:pPr>
            <w:r>
              <w:rPr>
                <w:rFonts w:hint="eastAsia" w:ascii="宋体" w:hAnsi="Times New Roman" w:eastAsia="宋体" w:cs="Times New Roman"/>
                <w:color w:val="auto"/>
                <w:szCs w:val="21"/>
              </w:rPr>
              <w:sym w:font="Wingdings 2" w:char="F052"/>
            </w:r>
            <w:r>
              <w:rPr>
                <w:rFonts w:hint="eastAsia" w:ascii="仿宋_GB2312" w:hAnsi="宋体" w:eastAsia="仿宋_GB2312" w:cs="Times New Roman"/>
                <w:color w:val="auto"/>
                <w:szCs w:val="21"/>
              </w:rPr>
              <w:t xml:space="preserve">CMA  </w:t>
            </w:r>
            <w:r>
              <w:rPr>
                <w:rFonts w:hint="eastAsia" w:ascii="宋体" w:hAnsi="Times New Roman" w:eastAsia="宋体" w:cs="Times New Roman"/>
                <w:color w:val="auto"/>
                <w:szCs w:val="21"/>
              </w:rPr>
              <w:sym w:font="Wingdings 2" w:char="F052"/>
            </w:r>
            <w:r>
              <w:rPr>
                <w:rFonts w:hint="eastAsia" w:ascii="仿宋_GB2312" w:hAnsi="宋体" w:eastAsia="仿宋_GB2312" w:cs="Times New Roman"/>
                <w:color w:val="auto"/>
                <w:szCs w:val="21"/>
              </w:rPr>
              <w:t>CNAS</w:t>
            </w:r>
          </w:p>
        </w:tc>
      </w:tr>
    </w:tbl>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除上述标准外</w:t>
      </w:r>
      <w:r>
        <w:rPr>
          <w:rFonts w:ascii="仿宋_GB2312" w:hAnsi="宋体" w:eastAsia="仿宋_GB2312" w:cs="Times New Roman"/>
          <w:color w:val="auto"/>
          <w:sz w:val="28"/>
          <w:szCs w:val="28"/>
        </w:rPr>
        <w:t>，还包括</w:t>
      </w:r>
      <w:r>
        <w:rPr>
          <w:rFonts w:hint="eastAsia" w:ascii="仿宋_GB2312" w:hAnsi="宋体" w:eastAsia="仿宋_GB2312" w:cs="Times New Roman"/>
          <w:color w:val="auto"/>
          <w:sz w:val="28"/>
          <w:szCs w:val="28"/>
        </w:rPr>
        <w:t>政府法规及产品的明示标准（包括备案的企业标准）和明示担保内容。</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5抽样</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5.1抽样型号或规格</w:t>
      </w:r>
    </w:p>
    <w:p>
      <w:pPr>
        <w:snapToGrid w:val="0"/>
        <w:spacing w:line="360" w:lineRule="auto"/>
        <w:ind w:firstLine="537" w:firstLineChars="192"/>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抽取样品须为同一型号规格，同一批次的产品。</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5.2抽样方法</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5.3抽样基数</w:t>
      </w:r>
    </w:p>
    <w:p>
      <w:pPr>
        <w:snapToGrid w:val="0"/>
        <w:spacing w:line="360" w:lineRule="auto"/>
        <w:ind w:firstLine="560" w:firstLineChars="200"/>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在生产企业成品库内及市场上抽样时，抽样基数应不少于抽取样品量。</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5.4抽样数量</w:t>
      </w:r>
    </w:p>
    <w:p>
      <w:pPr>
        <w:snapToGrid w:val="0"/>
        <w:spacing w:line="360" w:lineRule="auto"/>
        <w:ind w:firstLine="560" w:firstLineChars="200"/>
        <w:jc w:val="left"/>
        <w:rPr>
          <w:rFonts w:ascii="仿宋_GB2312" w:hAnsi="宋体" w:eastAsia="仿宋_GB2312" w:cs="Times New Roman"/>
          <w:color w:val="auto"/>
          <w:sz w:val="28"/>
          <w:szCs w:val="28"/>
        </w:rPr>
      </w:pPr>
      <w:r>
        <w:rPr>
          <w:rFonts w:hint="eastAsia" w:ascii="仿宋_GB2312" w:hAnsi="宋体" w:eastAsia="仿宋_GB2312"/>
          <w:color w:val="auto"/>
          <w:sz w:val="28"/>
          <w:szCs w:val="28"/>
        </w:rPr>
        <w:t>抽取样品的数量不得超过检验、复检的合理需要，具体</w:t>
      </w:r>
      <w:r>
        <w:rPr>
          <w:rFonts w:hint="eastAsia" w:ascii="仿宋_GB2312" w:hAnsi="宋体" w:eastAsia="仿宋_GB2312" w:cs="Times New Roman"/>
          <w:color w:val="auto"/>
          <w:sz w:val="28"/>
          <w:szCs w:val="28"/>
        </w:rPr>
        <w:t>抽样数量见下表：</w:t>
      </w:r>
    </w:p>
    <w:tbl>
      <w:tblPr>
        <w:tblStyle w:val="5"/>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57"/>
        <w:gridCol w:w="29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340" w:type="dxa"/>
            <w:vMerge w:val="restart"/>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测试项目名称</w:t>
            </w:r>
          </w:p>
        </w:tc>
        <w:tc>
          <w:tcPr>
            <w:tcW w:w="1757" w:type="dxa"/>
            <w:vMerge w:val="restart"/>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依据标准</w:t>
            </w:r>
          </w:p>
        </w:tc>
        <w:tc>
          <w:tcPr>
            <w:tcW w:w="5369" w:type="dxa"/>
            <w:gridSpan w:val="2"/>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340" w:type="dxa"/>
            <w:vMerge w:val="continue"/>
            <w:vAlign w:val="center"/>
          </w:tcPr>
          <w:p>
            <w:pPr>
              <w:snapToGrid w:val="0"/>
              <w:jc w:val="center"/>
              <w:rPr>
                <w:rFonts w:ascii="黑体" w:hAnsi="黑体" w:eastAsia="黑体" w:cs="Times New Roman"/>
                <w:color w:val="auto"/>
                <w:szCs w:val="21"/>
              </w:rPr>
            </w:pPr>
          </w:p>
        </w:tc>
        <w:tc>
          <w:tcPr>
            <w:tcW w:w="1757" w:type="dxa"/>
            <w:vMerge w:val="continue"/>
            <w:vAlign w:val="center"/>
          </w:tcPr>
          <w:p>
            <w:pPr>
              <w:snapToGrid w:val="0"/>
              <w:jc w:val="center"/>
              <w:rPr>
                <w:rFonts w:ascii="黑体" w:hAnsi="黑体" w:eastAsia="黑体" w:cs="Times New Roman"/>
                <w:color w:val="auto"/>
                <w:szCs w:val="21"/>
              </w:rPr>
            </w:pPr>
          </w:p>
        </w:tc>
        <w:tc>
          <w:tcPr>
            <w:tcW w:w="2960"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生产领域</w:t>
            </w:r>
          </w:p>
        </w:tc>
        <w:tc>
          <w:tcPr>
            <w:tcW w:w="2409"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流通领域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标志和说明</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第7章</w:t>
            </w:r>
          </w:p>
        </w:tc>
        <w:tc>
          <w:tcPr>
            <w:tcW w:w="2960" w:type="dxa"/>
            <w:vMerge w:val="restart"/>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检验样品：完整样品2个；</w:t>
            </w:r>
          </w:p>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备样：完整样品1个。</w:t>
            </w:r>
          </w:p>
        </w:tc>
        <w:tc>
          <w:tcPr>
            <w:tcW w:w="2409" w:type="dxa"/>
            <w:vMerge w:val="restart"/>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检验样品：完整样品2个；</w:t>
            </w:r>
          </w:p>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备样：完整样品1个。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对触及带电部件的防护</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第8章</w:t>
            </w:r>
          </w:p>
        </w:tc>
        <w:tc>
          <w:tcPr>
            <w:tcW w:w="2960" w:type="dxa"/>
            <w:vMerge w:val="continue"/>
            <w:vAlign w:val="center"/>
          </w:tcPr>
          <w:p>
            <w:pPr>
              <w:snapToGrid w:val="0"/>
              <w:jc w:val="left"/>
              <w:rPr>
                <w:rFonts w:ascii="宋体" w:hAnsi="Times New Roman" w:eastAsia="宋体"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输入功率和电流</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10</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工作温度下的电气绝缘和泄漏电流</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13</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耐潮湿</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15</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泄漏电流和电气强度</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第1</w:t>
            </w:r>
            <w:r>
              <w:rPr>
                <w:rFonts w:ascii="仿宋_GB2312" w:hAnsi="宋体" w:eastAsia="仿宋_GB2312"/>
                <w:color w:val="auto"/>
                <w:szCs w:val="21"/>
              </w:rPr>
              <w:t>6</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稳定性和机械危险</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20</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结构（不包含22.46）</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22</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内部布线（不包括23.3）</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23</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电源连接和外部软线（不包含25.14）</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25</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接地措施</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27</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螺钉和连接</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第28章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电气间隙、爬电距离和固体绝缘</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第2</w:t>
            </w:r>
            <w:r>
              <w:rPr>
                <w:rFonts w:ascii="仿宋_GB2312" w:hAnsi="宋体" w:eastAsia="仿宋_GB2312"/>
                <w:color w:val="auto"/>
                <w:szCs w:val="21"/>
              </w:rPr>
              <w:t>9</w:t>
            </w:r>
            <w:r>
              <w:rPr>
                <w:rFonts w:hint="eastAsia" w:ascii="仿宋_GB2312" w:hAnsi="宋体" w:eastAsia="仿宋_GB2312"/>
                <w:color w:val="auto"/>
                <w:szCs w:val="21"/>
              </w:rPr>
              <w:t>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耐热和耐燃</w:t>
            </w:r>
          </w:p>
        </w:tc>
        <w:tc>
          <w:tcPr>
            <w:tcW w:w="1757"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第30章</w:t>
            </w:r>
          </w:p>
        </w:tc>
        <w:tc>
          <w:tcPr>
            <w:tcW w:w="2960" w:type="dxa"/>
            <w:vMerge w:val="continue"/>
            <w:vAlign w:val="center"/>
          </w:tcPr>
          <w:p>
            <w:pPr>
              <w:snapToGrid w:val="0"/>
              <w:jc w:val="left"/>
              <w:rPr>
                <w:rFonts w:ascii="仿宋_GB2312" w:hAnsi="宋体" w:eastAsia="仿宋_GB2312" w:cs="Times New Roman"/>
                <w:color w:val="auto"/>
                <w:szCs w:val="21"/>
              </w:rPr>
            </w:pPr>
          </w:p>
        </w:tc>
        <w:tc>
          <w:tcPr>
            <w:tcW w:w="2409" w:type="dxa"/>
            <w:vMerge w:val="continue"/>
            <w:vAlign w:val="center"/>
          </w:tcPr>
          <w:p>
            <w:pPr>
              <w:spacing w:before="50"/>
              <w:jc w:val="center"/>
              <w:rPr>
                <w:rFonts w:ascii="仿宋_GB2312" w:hAnsi="宋体" w:eastAsia="仿宋_GB2312" w:cs="Times New Roman"/>
                <w:color w:val="auto"/>
                <w:szCs w:val="21"/>
              </w:rPr>
            </w:pPr>
          </w:p>
        </w:tc>
      </w:tr>
    </w:tbl>
    <w:p>
      <w:pPr>
        <w:snapToGrid w:val="0"/>
        <w:spacing w:line="360" w:lineRule="auto"/>
        <w:ind w:firstLine="560" w:firstLineChars="200"/>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生产领域检验样品和备样按上表抽取后均封存于承检机构；流通领域（实体店）抽取检验样品带回承检机构，备样封存在受检单位；流通领域（网络交易平台）检验样品和备样按上表购买后均封存于承检机构。</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5.5 样品处置</w:t>
      </w:r>
    </w:p>
    <w:p>
      <w:pPr>
        <w:snapToGrid w:val="0"/>
        <w:spacing w:line="360" w:lineRule="auto"/>
        <w:jc w:val="left"/>
        <w:rPr>
          <w:rFonts w:ascii="仿宋_GB2312" w:hAnsi="宋体" w:eastAsia="仿宋_GB2312" w:cs="Times New Roman"/>
          <w:color w:val="auto"/>
          <w:sz w:val="28"/>
          <w:szCs w:val="28"/>
        </w:rPr>
      </w:pPr>
      <w:r>
        <w:rPr>
          <w:rFonts w:hint="eastAsia" w:ascii="仿宋_GB2312" w:hAnsi="ˎ̥" w:eastAsia="仿宋_GB2312" w:cs="Times New Roman"/>
          <w:b/>
          <w:color w:val="auto"/>
          <w:sz w:val="28"/>
          <w:szCs w:val="28"/>
        </w:rPr>
        <w:t>5.5.1</w:t>
      </w:r>
      <w:r>
        <w:rPr>
          <w:rFonts w:hint="eastAsia" w:ascii="仿宋_GB2312" w:hAnsi="宋体" w:eastAsia="仿宋_GB2312" w:cs="Times New Roman"/>
          <w:color w:val="auto"/>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Times New Roman" w:eastAsia="仿宋_GB2312" w:cs="Times New Roman"/>
          <w:color w:val="auto"/>
          <w:sz w:val="28"/>
          <w:szCs w:val="28"/>
        </w:rPr>
      </w:pPr>
      <w:r>
        <w:rPr>
          <w:rFonts w:hint="eastAsia" w:ascii="仿宋_GB2312" w:hAnsi="宋体" w:eastAsia="仿宋_GB2312" w:cs="Times New Roman"/>
          <w:b/>
          <w:color w:val="auto"/>
          <w:sz w:val="28"/>
          <w:szCs w:val="28"/>
        </w:rPr>
        <w:t>5.5.2</w:t>
      </w:r>
      <w:r>
        <w:rPr>
          <w:rFonts w:hint="eastAsia" w:ascii="仿宋_GB2312" w:eastAsia="仿宋_GB2312"/>
          <w:color w:val="auto"/>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5.6抽样单</w:t>
      </w:r>
    </w:p>
    <w:p>
      <w:pPr>
        <w:snapToGrid w:val="0"/>
        <w:spacing w:line="360" w:lineRule="auto"/>
        <w:ind w:firstLine="537" w:firstLineChars="192"/>
        <w:rPr>
          <w:rFonts w:ascii="仿宋_GB2312" w:eastAsia="仿宋_GB2312" w:cs="Sim Sun"/>
          <w:color w:val="auto"/>
          <w:kern w:val="0"/>
          <w:sz w:val="28"/>
          <w:szCs w:val="28"/>
        </w:rPr>
      </w:pPr>
      <w:r>
        <w:rPr>
          <w:rFonts w:hint="eastAsia" w:ascii="仿宋_GB2312" w:hAnsi="宋体" w:eastAsia="仿宋_GB2312"/>
          <w:color w:val="auto"/>
          <w:sz w:val="28"/>
          <w:szCs w:val="28"/>
        </w:rPr>
        <w:t>应按有关规定填写抽样单，并记录被抽查产品及企业相关信息。</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6检验要求</w:t>
      </w:r>
    </w:p>
    <w:p>
      <w:pPr>
        <w:snapToGrid w:val="0"/>
        <w:spacing w:line="360" w:lineRule="auto"/>
        <w:jc w:val="left"/>
        <w:rPr>
          <w:rFonts w:ascii="仿宋_GB2312" w:hAnsi="宋体" w:eastAsia="仿宋_GB2312" w:cs="Times New Roman"/>
          <w:b/>
          <w:color w:val="auto"/>
          <w:sz w:val="28"/>
          <w:szCs w:val="28"/>
        </w:rPr>
      </w:pPr>
      <w:r>
        <w:rPr>
          <w:rFonts w:hint="eastAsia" w:ascii="仿宋_GB2312" w:hAnsi="宋体" w:eastAsia="仿宋_GB2312" w:cs="Times New Roman"/>
          <w:b/>
          <w:color w:val="auto"/>
          <w:sz w:val="28"/>
          <w:szCs w:val="28"/>
        </w:rPr>
        <w:t>6.1检验项目</w:t>
      </w:r>
    </w:p>
    <w:tbl>
      <w:tblPr>
        <w:tblStyle w:val="5"/>
        <w:tblW w:w="10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882"/>
        <w:gridCol w:w="1998"/>
        <w:gridCol w:w="891"/>
        <w:gridCol w:w="277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637"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序号</w:t>
            </w:r>
          </w:p>
        </w:tc>
        <w:tc>
          <w:tcPr>
            <w:tcW w:w="1882"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检验项目</w:t>
            </w:r>
          </w:p>
        </w:tc>
        <w:tc>
          <w:tcPr>
            <w:tcW w:w="1998"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依据法律法规或</w:t>
            </w:r>
          </w:p>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标准条款</w:t>
            </w:r>
          </w:p>
        </w:tc>
        <w:tc>
          <w:tcPr>
            <w:tcW w:w="891"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强制/推荐性</w:t>
            </w:r>
          </w:p>
        </w:tc>
        <w:tc>
          <w:tcPr>
            <w:tcW w:w="2778"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检测方法</w:t>
            </w:r>
          </w:p>
        </w:tc>
        <w:tc>
          <w:tcPr>
            <w:tcW w:w="1922" w:type="dxa"/>
            <w:vAlign w:val="center"/>
          </w:tcPr>
          <w:p>
            <w:pPr>
              <w:snapToGrid w:val="0"/>
              <w:jc w:val="center"/>
              <w:rPr>
                <w:rFonts w:ascii="黑体" w:hAnsi="黑体" w:eastAsia="黑体" w:cs="Times New Roman"/>
                <w:color w:val="auto"/>
                <w:szCs w:val="21"/>
              </w:rPr>
            </w:pPr>
            <w:r>
              <w:rPr>
                <w:rFonts w:hint="eastAsia" w:ascii="黑体" w:hAnsi="黑体" w:eastAsia="黑体" w:cs="Times New Roman"/>
                <w:color w:val="auto"/>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标志和说明</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第7章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第7章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2</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对触及带电部件的防护</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第8章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第8章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3</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输入功率和电流</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10</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10</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4</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工作温度下的电气绝缘和泄漏电流</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13</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13</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5" w:hRule="exac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5</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耐潮湿</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15</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15</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exac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6</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泄漏电流和电气强度</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第1</w:t>
            </w:r>
            <w:r>
              <w:rPr>
                <w:rFonts w:ascii="仿宋_GB2312" w:hAnsi="宋体" w:eastAsia="仿宋_GB2312"/>
                <w:color w:val="auto"/>
                <w:szCs w:val="21"/>
              </w:rPr>
              <w:t>6</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第1</w:t>
            </w:r>
            <w:r>
              <w:rPr>
                <w:rFonts w:ascii="仿宋_GB2312" w:hAnsi="宋体" w:eastAsia="仿宋_GB2312"/>
                <w:color w:val="auto"/>
                <w:szCs w:val="21"/>
              </w:rPr>
              <w:t>6</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7</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稳定性和机械危险</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20</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20</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8</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结构（不包含22.46）</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22</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22</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9</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内部布线（不包括23.3）</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23</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23</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10</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电源连接和外部软线（不包含25.14）</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25</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25</w:t>
            </w:r>
            <w:r>
              <w:rPr>
                <w:rFonts w:hint="eastAsia" w:ascii="仿宋_GB2312" w:hAnsi="宋体" w:eastAsia="仿宋_GB2312"/>
                <w:color w:val="auto"/>
                <w:szCs w:val="21"/>
              </w:rPr>
              <w:t>章</w:t>
            </w:r>
          </w:p>
        </w:tc>
        <w:tc>
          <w:tcPr>
            <w:tcW w:w="1922" w:type="dxa"/>
            <w:vAlign w:val="center"/>
          </w:tcPr>
          <w:p>
            <w:pPr>
              <w:snapToGrid w:val="0"/>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11</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接地措施</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27</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w:t>
            </w:r>
            <w:r>
              <w:rPr>
                <w:rFonts w:ascii="仿宋_GB2312" w:hAnsi="宋体" w:eastAsia="仿宋_GB2312"/>
                <w:color w:val="auto"/>
                <w:szCs w:val="21"/>
              </w:rPr>
              <w:t>27</w:t>
            </w:r>
            <w:r>
              <w:rPr>
                <w:rFonts w:hint="eastAsia" w:ascii="仿宋_GB2312" w:hAnsi="宋体" w:eastAsia="仿宋_GB2312"/>
                <w:color w:val="auto"/>
                <w:szCs w:val="21"/>
              </w:rPr>
              <w:t>章</w:t>
            </w:r>
          </w:p>
        </w:tc>
        <w:tc>
          <w:tcPr>
            <w:tcW w:w="1922"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12</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螺钉和连接</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第28章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第28章</w:t>
            </w:r>
          </w:p>
        </w:tc>
        <w:tc>
          <w:tcPr>
            <w:tcW w:w="1922"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13</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电气间隙、爬电距离和固体绝缘</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第2</w:t>
            </w:r>
            <w:r>
              <w:rPr>
                <w:rFonts w:ascii="仿宋_GB2312" w:hAnsi="宋体" w:eastAsia="仿宋_GB2312"/>
                <w:color w:val="auto"/>
                <w:szCs w:val="21"/>
              </w:rPr>
              <w:t>9</w:t>
            </w:r>
            <w:r>
              <w:rPr>
                <w:rFonts w:hint="eastAsia" w:ascii="仿宋_GB2312" w:hAnsi="宋体" w:eastAsia="仿宋_GB2312"/>
                <w:color w:val="auto"/>
                <w:szCs w:val="21"/>
              </w:rPr>
              <w:t>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第2</w:t>
            </w:r>
            <w:r>
              <w:rPr>
                <w:rFonts w:ascii="仿宋_GB2312" w:hAnsi="宋体" w:eastAsia="仿宋_GB2312"/>
                <w:color w:val="auto"/>
                <w:szCs w:val="21"/>
              </w:rPr>
              <w:t>9</w:t>
            </w:r>
            <w:r>
              <w:rPr>
                <w:rFonts w:hint="eastAsia" w:ascii="仿宋_GB2312" w:hAnsi="宋体" w:eastAsia="仿宋_GB2312"/>
                <w:color w:val="auto"/>
                <w:szCs w:val="21"/>
              </w:rPr>
              <w:t>章</w:t>
            </w:r>
          </w:p>
        </w:tc>
        <w:tc>
          <w:tcPr>
            <w:tcW w:w="1922"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7"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14</w:t>
            </w:r>
          </w:p>
        </w:tc>
        <w:tc>
          <w:tcPr>
            <w:tcW w:w="1882"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耐热和耐燃</w:t>
            </w:r>
          </w:p>
        </w:tc>
        <w:tc>
          <w:tcPr>
            <w:tcW w:w="199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第30章</w:t>
            </w:r>
          </w:p>
        </w:tc>
        <w:tc>
          <w:tcPr>
            <w:tcW w:w="891"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强制性</w:t>
            </w:r>
          </w:p>
        </w:tc>
        <w:tc>
          <w:tcPr>
            <w:tcW w:w="2778" w:type="dxa"/>
            <w:vAlign w:val="center"/>
          </w:tcPr>
          <w:p>
            <w:pPr>
              <w:snapToGrid w:val="0"/>
              <w:jc w:val="center"/>
              <w:rPr>
                <w:rFonts w:ascii="仿宋_GB2312" w:hAnsi="宋体" w:eastAsia="仿宋_GB2312"/>
                <w:color w:val="auto"/>
                <w:szCs w:val="21"/>
              </w:rPr>
            </w:pPr>
            <w:r>
              <w:rPr>
                <w:rFonts w:hint="eastAsia" w:ascii="仿宋_GB2312" w:hAnsi="宋体" w:eastAsia="仿宋_GB2312"/>
                <w:color w:val="auto"/>
                <w:szCs w:val="21"/>
              </w:rPr>
              <w:t>GB4706.1</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GB4706.53</w:t>
            </w:r>
          </w:p>
          <w:p>
            <w:pPr>
              <w:snapToGrid w:val="0"/>
              <w:jc w:val="center"/>
              <w:rPr>
                <w:rFonts w:ascii="仿宋_GB2312" w:hAnsi="宋体" w:eastAsia="仿宋_GB2312"/>
                <w:color w:val="auto"/>
                <w:szCs w:val="21"/>
              </w:rPr>
            </w:pPr>
            <w:r>
              <w:rPr>
                <w:rFonts w:hint="eastAsia" w:ascii="仿宋_GB2312" w:hAnsi="宋体" w:eastAsia="仿宋_GB2312"/>
                <w:color w:val="auto"/>
                <w:szCs w:val="21"/>
              </w:rPr>
              <w:t>第30章</w:t>
            </w:r>
          </w:p>
        </w:tc>
        <w:tc>
          <w:tcPr>
            <w:tcW w:w="1922" w:type="dxa"/>
            <w:vAlign w:val="center"/>
          </w:tcPr>
          <w:p>
            <w:pPr>
              <w:jc w:val="center"/>
              <w:rPr>
                <w:rFonts w:ascii="仿宋_GB2312" w:hAnsi="宋体" w:eastAsia="仿宋_GB2312" w:cs="Times New Roman"/>
                <w:color w:val="auto"/>
                <w:szCs w:val="21"/>
              </w:rPr>
            </w:pPr>
            <w:r>
              <w:rPr>
                <w:rFonts w:hint="eastAsia" w:ascii="仿宋_GB2312" w:hAnsi="宋体" w:eastAsia="仿宋_GB2312" w:cs="Times New Roman"/>
                <w:color w:val="auto"/>
                <w:szCs w:val="21"/>
              </w:rPr>
              <w:t>备样</w:t>
            </w:r>
          </w:p>
        </w:tc>
      </w:tr>
    </w:tbl>
    <w:p>
      <w:pPr>
        <w:snapToGrid w:val="0"/>
        <w:spacing w:line="360" w:lineRule="auto"/>
        <w:jc w:val="left"/>
        <w:rPr>
          <w:rFonts w:ascii="仿宋_GB2312" w:hAnsi="Times New Roman" w:eastAsia="仿宋_GB2312" w:cs="Sim Sun"/>
          <w:b/>
          <w:color w:val="auto"/>
          <w:kern w:val="0"/>
          <w:sz w:val="28"/>
          <w:szCs w:val="28"/>
        </w:rPr>
      </w:pPr>
    </w:p>
    <w:p>
      <w:pPr>
        <w:snapToGrid w:val="0"/>
        <w:spacing w:line="360" w:lineRule="auto"/>
        <w:jc w:val="left"/>
        <w:rPr>
          <w:rFonts w:ascii="仿宋_GB2312" w:hAnsi="宋体" w:eastAsia="仿宋_GB2312" w:cs="Times New Roman"/>
          <w:b/>
          <w:color w:val="auto"/>
          <w:sz w:val="28"/>
          <w:szCs w:val="28"/>
        </w:rPr>
      </w:pPr>
      <w:r>
        <w:rPr>
          <w:rFonts w:hint="eastAsia" w:ascii="仿宋_GB2312" w:hAnsi="Times New Roman" w:eastAsia="仿宋_GB2312" w:cs="Sim Sun"/>
          <w:b/>
          <w:color w:val="auto"/>
          <w:kern w:val="0"/>
          <w:sz w:val="28"/>
          <w:szCs w:val="28"/>
        </w:rPr>
        <w:t>6.</w:t>
      </w:r>
      <w:r>
        <w:rPr>
          <w:rFonts w:ascii="仿宋_GB2312" w:hAnsi="Times New Roman" w:eastAsia="仿宋_GB2312" w:cs="Sim Sun"/>
          <w:b/>
          <w:color w:val="auto"/>
          <w:kern w:val="0"/>
          <w:sz w:val="28"/>
          <w:szCs w:val="28"/>
        </w:rPr>
        <w:t>2</w:t>
      </w:r>
      <w:r>
        <w:rPr>
          <w:rFonts w:hint="eastAsia" w:ascii="仿宋_GB2312" w:hAnsi="Times New Roman" w:eastAsia="仿宋_GB2312" w:cs="Sim Sun"/>
          <w:b/>
          <w:color w:val="auto"/>
          <w:kern w:val="0"/>
          <w:sz w:val="28"/>
          <w:szCs w:val="28"/>
        </w:rPr>
        <w:t>检验应注意的问题</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b/>
          <w:color w:val="auto"/>
          <w:kern w:val="0"/>
          <w:sz w:val="28"/>
          <w:szCs w:val="28"/>
        </w:rPr>
        <w:t>6.</w:t>
      </w:r>
      <w:r>
        <w:rPr>
          <w:rFonts w:ascii="仿宋_GB2312" w:hAnsi="Times New Roman" w:eastAsia="仿宋_GB2312" w:cs="Sim Sun"/>
          <w:b/>
          <w:color w:val="auto"/>
          <w:kern w:val="0"/>
          <w:sz w:val="28"/>
          <w:szCs w:val="28"/>
        </w:rPr>
        <w:t>2</w:t>
      </w:r>
      <w:r>
        <w:rPr>
          <w:rFonts w:hint="eastAsia" w:ascii="仿宋_GB2312" w:hAnsi="Times New Roman" w:eastAsia="仿宋_GB2312" w:cs="Sim Sun"/>
          <w:b/>
          <w:color w:val="auto"/>
          <w:kern w:val="0"/>
          <w:sz w:val="28"/>
          <w:szCs w:val="28"/>
        </w:rPr>
        <w:t>.1</w:t>
      </w:r>
      <w:r>
        <w:rPr>
          <w:rFonts w:hint="eastAsia" w:ascii="仿宋_GB2312" w:hAnsi="Times New Roman" w:eastAsia="仿宋_GB2312" w:cs="Sim Sun"/>
          <w:color w:val="auto"/>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napToGrid w:val="0"/>
        <w:spacing w:line="360" w:lineRule="auto"/>
        <w:jc w:val="left"/>
        <w:rPr>
          <w:rFonts w:ascii="仿宋_GB2312" w:hAnsi="Times New Roman" w:eastAsia="仿宋_GB2312" w:cs="Sim Sun"/>
          <w:color w:val="auto"/>
          <w:kern w:val="0"/>
          <w:sz w:val="28"/>
          <w:szCs w:val="28"/>
        </w:rPr>
      </w:pPr>
      <w:r>
        <w:rPr>
          <w:rFonts w:hint="eastAsia" w:ascii="仿宋_GB2312" w:hAnsi="Times New Roman" w:eastAsia="仿宋_GB2312" w:cs="Sim Sun"/>
          <w:b/>
          <w:color w:val="auto"/>
          <w:kern w:val="0"/>
          <w:sz w:val="28"/>
          <w:szCs w:val="28"/>
        </w:rPr>
        <w:t>6.</w:t>
      </w:r>
      <w:r>
        <w:rPr>
          <w:rFonts w:ascii="仿宋_GB2312" w:hAnsi="Times New Roman" w:eastAsia="仿宋_GB2312" w:cs="Sim Sun"/>
          <w:b/>
          <w:color w:val="auto"/>
          <w:kern w:val="0"/>
          <w:sz w:val="28"/>
          <w:szCs w:val="28"/>
        </w:rPr>
        <w:t>2</w:t>
      </w:r>
      <w:r>
        <w:rPr>
          <w:rFonts w:hint="eastAsia" w:ascii="仿宋_GB2312" w:hAnsi="Times New Roman" w:eastAsia="仿宋_GB2312" w:cs="Sim Sun"/>
          <w:b/>
          <w:color w:val="auto"/>
          <w:kern w:val="0"/>
          <w:sz w:val="28"/>
          <w:szCs w:val="28"/>
        </w:rPr>
        <w:t>.2</w:t>
      </w:r>
      <w:r>
        <w:rPr>
          <w:rFonts w:hint="eastAsia" w:ascii="仿宋_GB2312" w:hAnsi="Times New Roman" w:eastAsia="仿宋_GB2312" w:cs="Sim Sun"/>
          <w:color w:val="auto"/>
          <w:kern w:val="0"/>
          <w:sz w:val="28"/>
          <w:szCs w:val="28"/>
        </w:rPr>
        <w:t>如被检产品明示执行标准版本已被新版本替换，则以产品明示生产日期为准判定检测用标准版本：生产日期在新版本标准生效日期之前，按旧版本标准进行检测，生产日期在新版本生效日期之后，则按新版本标准进行检测。</w:t>
      </w:r>
    </w:p>
    <w:p>
      <w:pPr>
        <w:snapToGrid w:val="0"/>
        <w:spacing w:line="360" w:lineRule="auto"/>
        <w:jc w:val="left"/>
        <w:rPr>
          <w:rFonts w:ascii="仿宋_GB2312" w:hAnsi="宋体" w:eastAsia="仿宋_GB2312" w:cs="Times New Roman"/>
          <w:color w:val="auto"/>
          <w:sz w:val="28"/>
          <w:szCs w:val="28"/>
        </w:rPr>
      </w:pPr>
      <w:r>
        <w:rPr>
          <w:rFonts w:hint="eastAsia" w:ascii="仿宋_GB2312" w:hAnsi="Times New Roman" w:eastAsia="仿宋_GB2312" w:cs="Sim Sun"/>
          <w:b/>
          <w:color w:val="auto"/>
          <w:kern w:val="0"/>
          <w:sz w:val="28"/>
          <w:szCs w:val="28"/>
        </w:rPr>
        <w:t>6.</w:t>
      </w:r>
      <w:r>
        <w:rPr>
          <w:rFonts w:ascii="仿宋_GB2312" w:hAnsi="Times New Roman" w:eastAsia="仿宋_GB2312" w:cs="Sim Sun"/>
          <w:b/>
          <w:color w:val="auto"/>
          <w:kern w:val="0"/>
          <w:sz w:val="28"/>
          <w:szCs w:val="28"/>
        </w:rPr>
        <w:t>2</w:t>
      </w:r>
      <w:r>
        <w:rPr>
          <w:rFonts w:hint="eastAsia" w:ascii="仿宋_GB2312" w:hAnsi="Times New Roman" w:eastAsia="仿宋_GB2312" w:cs="Sim Sun"/>
          <w:b/>
          <w:color w:val="auto"/>
          <w:kern w:val="0"/>
          <w:sz w:val="28"/>
          <w:szCs w:val="28"/>
        </w:rPr>
        <w:t>.3</w:t>
      </w:r>
      <w:r>
        <w:rPr>
          <w:rFonts w:hint="eastAsia" w:ascii="仿宋_GB2312" w:hAnsi="宋体" w:eastAsia="仿宋_GB2312" w:cs="Times New Roman"/>
          <w:color w:val="auto"/>
          <w:sz w:val="28"/>
          <w:szCs w:val="28"/>
        </w:rPr>
        <w:t>当明示执行标准（或指标）与强制性标准（或规定）不一致时，按要求严格的规定判定；当无明示执行标准时，按相应的强制性标准判定；若企业标准或明示质量要求缺少相关重要检验项目，且无强制性标准要求，应按国家或行业推荐性标准判定；若企业明示标准中的性能（质量）要求低于推荐性标准，在检验报告的备注栏予以说明。</w:t>
      </w:r>
    </w:p>
    <w:p>
      <w:pPr>
        <w:snapToGrid w:val="0"/>
        <w:spacing w:line="360" w:lineRule="auto"/>
        <w:jc w:val="left"/>
        <w:rPr>
          <w:rFonts w:ascii="仿宋_GB2312" w:hAnsi="宋体" w:eastAsia="仿宋_GB2312" w:cs="Times New Roman"/>
          <w:color w:val="auto"/>
          <w:sz w:val="28"/>
          <w:szCs w:val="28"/>
        </w:rPr>
      </w:pPr>
      <w:r>
        <w:rPr>
          <w:rFonts w:hint="eastAsia" w:ascii="仿宋_GB2312" w:hAnsi="Times New Roman" w:eastAsia="仿宋_GB2312" w:cs="Sim Sun"/>
          <w:b/>
          <w:color w:val="auto"/>
          <w:kern w:val="0"/>
          <w:sz w:val="28"/>
          <w:szCs w:val="28"/>
        </w:rPr>
        <w:t>6.</w:t>
      </w:r>
      <w:r>
        <w:rPr>
          <w:rFonts w:ascii="仿宋_GB2312" w:hAnsi="Times New Roman" w:eastAsia="仿宋_GB2312" w:cs="Sim Sun"/>
          <w:b/>
          <w:color w:val="auto"/>
          <w:kern w:val="0"/>
          <w:sz w:val="28"/>
          <w:szCs w:val="28"/>
        </w:rPr>
        <w:t>2</w:t>
      </w:r>
      <w:r>
        <w:rPr>
          <w:rFonts w:hint="eastAsia" w:ascii="仿宋_GB2312" w:hAnsi="Times New Roman" w:eastAsia="仿宋_GB2312" w:cs="Sim Sun"/>
          <w:b/>
          <w:color w:val="auto"/>
          <w:kern w:val="0"/>
          <w:sz w:val="28"/>
          <w:szCs w:val="28"/>
        </w:rPr>
        <w:t>.4</w:t>
      </w:r>
      <w:r>
        <w:rPr>
          <w:rFonts w:hint="eastAsia" w:ascii="仿宋_GB2312" w:hAnsi="宋体" w:eastAsia="仿宋_GB2312" w:cs="Times New Roman"/>
          <w:color w:val="auto"/>
          <w:sz w:val="28"/>
          <w:szCs w:val="28"/>
        </w:rPr>
        <w:t>当采用企业标准或明示指标进行判定时，若其明示指标与明示执行标准规定不同，采用要求高的指标判定。</w:t>
      </w:r>
    </w:p>
    <w:p>
      <w:pPr>
        <w:snapToGrid w:val="0"/>
        <w:spacing w:line="360" w:lineRule="auto"/>
        <w:jc w:val="left"/>
        <w:rPr>
          <w:rFonts w:ascii="仿宋_GB2312" w:hAnsi="宋体" w:eastAsia="仿宋_GB2312" w:cs="Times New Roman"/>
          <w:bCs/>
          <w:color w:val="auto"/>
          <w:sz w:val="28"/>
          <w:szCs w:val="28"/>
        </w:rPr>
      </w:pPr>
      <w:r>
        <w:rPr>
          <w:rFonts w:hint="eastAsia" w:ascii="仿宋_GB2312" w:hAnsi="宋体" w:eastAsia="仿宋_GB2312" w:cs="Times New Roman"/>
          <w:b/>
          <w:color w:val="auto"/>
          <w:sz w:val="28"/>
          <w:szCs w:val="28"/>
        </w:rPr>
        <w:t>6.</w:t>
      </w:r>
      <w:r>
        <w:rPr>
          <w:rFonts w:ascii="仿宋_GB2312" w:hAnsi="宋体" w:eastAsia="仿宋_GB2312" w:cs="Times New Roman"/>
          <w:b/>
          <w:color w:val="auto"/>
          <w:sz w:val="28"/>
          <w:szCs w:val="28"/>
        </w:rPr>
        <w:t>2</w:t>
      </w:r>
      <w:r>
        <w:rPr>
          <w:rFonts w:hint="eastAsia" w:ascii="仿宋_GB2312" w:hAnsi="宋体" w:eastAsia="仿宋_GB2312" w:cs="Times New Roman"/>
          <w:b/>
          <w:color w:val="auto"/>
          <w:sz w:val="28"/>
          <w:szCs w:val="28"/>
        </w:rPr>
        <w:t>.5</w:t>
      </w:r>
      <w:r>
        <w:rPr>
          <w:rFonts w:ascii="仿宋_GB2312" w:hAnsi="宋体" w:eastAsia="仿宋_GB2312" w:cs="Times New Roman"/>
          <w:bCs/>
          <w:color w:val="auto"/>
          <w:sz w:val="28"/>
          <w:szCs w:val="28"/>
        </w:rPr>
        <w:t>智能坐便器产品</w:t>
      </w:r>
      <w:r>
        <w:rPr>
          <w:rFonts w:hint="eastAsia" w:ascii="仿宋_GB2312" w:hAnsi="宋体" w:eastAsia="仿宋_GB2312" w:cs="Times New Roman"/>
          <w:bCs/>
          <w:color w:val="auto"/>
          <w:sz w:val="28"/>
          <w:szCs w:val="28"/>
        </w:rPr>
        <w:t>检验报告中，应包含有强制性产品</w:t>
      </w:r>
      <w:r>
        <w:rPr>
          <w:rFonts w:ascii="仿宋_GB2312" w:hAnsi="宋体" w:eastAsia="仿宋_GB2312" w:cs="Times New Roman"/>
          <w:bCs/>
          <w:color w:val="auto"/>
          <w:sz w:val="28"/>
          <w:szCs w:val="28"/>
        </w:rPr>
        <w:t>认证标志</w:t>
      </w:r>
      <w:r>
        <w:rPr>
          <w:rFonts w:hint="eastAsia" w:ascii="仿宋_GB2312" w:hAnsi="宋体" w:eastAsia="仿宋_GB2312" w:cs="Times New Roman"/>
          <w:bCs/>
          <w:color w:val="auto"/>
          <w:sz w:val="28"/>
          <w:szCs w:val="28"/>
        </w:rPr>
        <w:t>、生产企业信息等标识及完整</w:t>
      </w:r>
      <w:r>
        <w:rPr>
          <w:rFonts w:ascii="仿宋_GB2312" w:hAnsi="宋体" w:eastAsia="仿宋_GB2312" w:cs="Times New Roman"/>
          <w:bCs/>
          <w:color w:val="auto"/>
          <w:sz w:val="28"/>
          <w:szCs w:val="28"/>
        </w:rPr>
        <w:t>产品</w:t>
      </w:r>
      <w:r>
        <w:rPr>
          <w:rFonts w:hint="eastAsia" w:ascii="仿宋_GB2312" w:hAnsi="宋体" w:eastAsia="仿宋_GB2312" w:cs="Times New Roman"/>
          <w:bCs/>
          <w:color w:val="auto"/>
          <w:sz w:val="28"/>
          <w:szCs w:val="28"/>
        </w:rPr>
        <w:t>的样品照片。</w:t>
      </w:r>
    </w:p>
    <w:p>
      <w:pPr>
        <w:snapToGrid w:val="0"/>
        <w:spacing w:line="360" w:lineRule="auto"/>
        <w:jc w:val="left"/>
        <w:rPr>
          <w:rFonts w:ascii="仿宋_GB2312" w:hAnsi="Times New Roman" w:eastAsia="仿宋_GB2312" w:cs="Sim Sun"/>
          <w:b/>
          <w:color w:val="auto"/>
          <w:kern w:val="0"/>
          <w:sz w:val="28"/>
          <w:szCs w:val="28"/>
        </w:rPr>
      </w:pPr>
      <w:r>
        <w:rPr>
          <w:rFonts w:hint="eastAsia" w:ascii="仿宋_GB2312" w:hAnsi="Times New Roman" w:eastAsia="仿宋_GB2312" w:cs="Sim Sun"/>
          <w:b/>
          <w:color w:val="auto"/>
          <w:kern w:val="0"/>
          <w:sz w:val="28"/>
          <w:szCs w:val="28"/>
        </w:rPr>
        <w:t>7判定原则</w:t>
      </w:r>
    </w:p>
    <w:p>
      <w:pPr>
        <w:snapToGrid w:val="0"/>
        <w:spacing w:line="360" w:lineRule="auto"/>
        <w:ind w:firstLine="600" w:firstLineChars="200"/>
        <w:jc w:val="left"/>
        <w:rPr>
          <w:rFonts w:ascii="仿宋_GB2312" w:hAnsi="Times New Roman" w:eastAsia="仿宋_GB2312" w:cs="Times New Roman"/>
          <w:color w:val="auto"/>
          <w:spacing w:val="10"/>
          <w:sz w:val="28"/>
          <w:szCs w:val="28"/>
        </w:rPr>
      </w:pPr>
      <w:r>
        <w:rPr>
          <w:rFonts w:ascii="仿宋_GB2312" w:hAnsi="Times New Roman" w:eastAsia="仿宋_GB2312" w:cs="Times New Roman"/>
          <w:color w:val="auto"/>
          <w:spacing w:val="10"/>
          <w:sz w:val="28"/>
          <w:szCs w:val="28"/>
        </w:rPr>
        <w:t>智能坐便器</w:t>
      </w:r>
      <w:r>
        <w:rPr>
          <w:rFonts w:hint="eastAsia" w:ascii="仿宋_GB2312" w:hAnsi="Times New Roman" w:eastAsia="仿宋_GB2312" w:cs="Times New Roman"/>
          <w:color w:val="auto"/>
          <w:spacing w:val="10"/>
          <w:sz w:val="28"/>
          <w:szCs w:val="28"/>
        </w:rPr>
        <w:t>产品所检项目全部合格，判定该产品本次检验合格；否则,判定该产品本次检验不合格。</w:t>
      </w:r>
    </w:p>
    <w:p>
      <w:pPr>
        <w:snapToGrid w:val="0"/>
        <w:spacing w:line="360" w:lineRule="auto"/>
        <w:jc w:val="left"/>
        <w:rPr>
          <w:rFonts w:ascii="仿宋_GB2312" w:hAnsi="Times New Roman" w:eastAsia="仿宋_GB2312" w:cs="Sim Sun"/>
          <w:b/>
          <w:color w:val="auto"/>
          <w:kern w:val="0"/>
          <w:sz w:val="28"/>
          <w:szCs w:val="28"/>
        </w:rPr>
      </w:pPr>
      <w:r>
        <w:rPr>
          <w:rFonts w:hint="eastAsia" w:ascii="仿宋_GB2312" w:hAnsi="Times New Roman" w:eastAsia="仿宋_GB2312" w:cs="Sim Sun"/>
          <w:b/>
          <w:color w:val="auto"/>
          <w:kern w:val="0"/>
          <w:sz w:val="28"/>
          <w:szCs w:val="28"/>
        </w:rPr>
        <w:t>8异议处理复检</w:t>
      </w:r>
    </w:p>
    <w:p>
      <w:pPr>
        <w:snapToGrid w:val="0"/>
        <w:spacing w:line="360" w:lineRule="auto"/>
        <w:jc w:val="left"/>
        <w:rPr>
          <w:rFonts w:ascii="仿宋_GB2312" w:hAnsi="宋体" w:eastAsia="仿宋_GB2312"/>
          <w:iCs/>
          <w:color w:val="auto"/>
          <w:sz w:val="28"/>
          <w:szCs w:val="28"/>
        </w:rPr>
      </w:pPr>
      <w:r>
        <w:rPr>
          <w:rFonts w:hint="eastAsia" w:ascii="仿宋_GB2312" w:hAnsi="宋体" w:eastAsia="仿宋_GB2312"/>
          <w:b/>
          <w:iCs/>
          <w:color w:val="auto"/>
          <w:sz w:val="28"/>
          <w:szCs w:val="28"/>
        </w:rPr>
        <w:t>8.1</w:t>
      </w:r>
      <w:r>
        <w:rPr>
          <w:rFonts w:hint="eastAsia" w:ascii="仿宋_GB2312" w:hAnsi="宋体" w:eastAsia="仿宋_GB2312"/>
          <w:iCs/>
          <w:color w:val="auto"/>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iCs/>
          <w:color w:val="auto"/>
          <w:sz w:val="28"/>
          <w:szCs w:val="28"/>
        </w:rPr>
        <w:t>8.2</w:t>
      </w:r>
      <w:r>
        <w:rPr>
          <w:rFonts w:hint="eastAsia" w:ascii="仿宋_GB2312" w:hAnsi="宋体" w:eastAsia="仿宋_GB2312" w:cs="Times New Roman"/>
          <w:iCs/>
          <w:color w:val="auto"/>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iCs/>
          <w:color w:val="auto"/>
          <w:sz w:val="28"/>
          <w:szCs w:val="28"/>
        </w:rPr>
        <w:t>8.3</w:t>
      </w:r>
      <w:r>
        <w:rPr>
          <w:rFonts w:hint="eastAsia" w:ascii="仿宋_GB2312" w:hAnsi="宋体" w:eastAsia="仿宋_GB2312" w:cs="Times New Roman"/>
          <w:iCs/>
          <w:color w:val="auto"/>
          <w:sz w:val="28"/>
          <w:szCs w:val="28"/>
        </w:rPr>
        <w:t xml:space="preserve"> 复检检验人员与初检检验人员不得为同一人。</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iCs/>
          <w:color w:val="auto"/>
          <w:sz w:val="28"/>
          <w:szCs w:val="28"/>
        </w:rPr>
        <w:t>8.4</w:t>
      </w:r>
      <w:r>
        <w:rPr>
          <w:rFonts w:hint="eastAsia" w:ascii="仿宋_GB2312" w:hAnsi="宋体" w:eastAsia="仿宋_GB2312" w:cs="Times New Roman"/>
          <w:iCs/>
          <w:color w:val="auto"/>
          <w:sz w:val="28"/>
          <w:szCs w:val="28"/>
        </w:rPr>
        <w:t>需对不合格项目复检时，按6.1选择复检样品。当复检结果仍不合格，维持原检验结果不变。当复检结果合格，以复检结果为准。</w:t>
      </w:r>
    </w:p>
    <w:p>
      <w:pPr>
        <w:snapToGrid w:val="0"/>
        <w:spacing w:line="360" w:lineRule="auto"/>
        <w:rPr>
          <w:rFonts w:ascii="仿宋_GB2312" w:eastAsia="仿宋_GB2312" w:cs="Sim Sun"/>
          <w:b/>
          <w:iCs/>
          <w:color w:val="auto"/>
          <w:kern w:val="0"/>
          <w:sz w:val="28"/>
          <w:szCs w:val="28"/>
        </w:rPr>
      </w:pPr>
      <w:r>
        <w:rPr>
          <w:rFonts w:hint="eastAsia" w:ascii="仿宋_GB2312" w:eastAsia="仿宋_GB2312" w:cs="Sim Sun"/>
          <w:b/>
          <w:iCs/>
          <w:color w:val="auto"/>
          <w:kern w:val="0"/>
          <w:sz w:val="28"/>
          <w:szCs w:val="28"/>
        </w:rPr>
        <w:t>8.</w:t>
      </w:r>
      <w:r>
        <w:rPr>
          <w:rFonts w:ascii="仿宋_GB2312" w:eastAsia="仿宋_GB2312" w:cs="Sim Sun"/>
          <w:b/>
          <w:iCs/>
          <w:color w:val="auto"/>
          <w:kern w:val="0"/>
          <w:sz w:val="28"/>
          <w:szCs w:val="28"/>
        </w:rPr>
        <w:t>5</w:t>
      </w:r>
      <w:r>
        <w:rPr>
          <w:rFonts w:ascii="仿宋_GB2312" w:eastAsia="仿宋_GB2312" w:cs="Sim Sun"/>
          <w:color w:val="auto"/>
          <w:kern w:val="0"/>
          <w:sz w:val="28"/>
          <w:szCs w:val="28"/>
        </w:rPr>
        <w:t>采用备样复验时，</w:t>
      </w:r>
      <w:r>
        <w:rPr>
          <w:rFonts w:hint="eastAsia" w:ascii="仿宋_GB2312" w:eastAsia="仿宋_GB2312" w:cs="Sim Sun"/>
          <w:color w:val="auto"/>
          <w:kern w:val="0"/>
          <w:sz w:val="28"/>
          <w:szCs w:val="28"/>
        </w:rPr>
        <w:t>若备样与原样的结构、布线、元器件等不一致时，检验结果以原检验结果为准。</w:t>
      </w:r>
    </w:p>
    <w:p>
      <w:pPr>
        <w:snapToGrid w:val="0"/>
        <w:spacing w:line="360" w:lineRule="auto"/>
        <w:rPr>
          <w:rFonts w:ascii="仿宋_GB2312" w:hAnsi="宋体" w:eastAsia="仿宋_GB2312" w:cs="Times New Roman"/>
          <w:iCs/>
          <w:color w:val="auto"/>
          <w:sz w:val="28"/>
          <w:szCs w:val="28"/>
        </w:rPr>
      </w:pPr>
      <w:r>
        <w:rPr>
          <w:rFonts w:hint="eastAsia" w:ascii="仿宋_GB2312" w:hAnsi="宋体" w:eastAsia="仿宋_GB2312" w:cs="Times New Roman"/>
          <w:b/>
          <w:iCs/>
          <w:color w:val="auto"/>
          <w:sz w:val="28"/>
          <w:szCs w:val="28"/>
        </w:rPr>
        <w:t>8.6</w:t>
      </w:r>
      <w:r>
        <w:rPr>
          <w:rFonts w:hint="eastAsia" w:ascii="仿宋_GB2312" w:hAnsi="宋体" w:eastAsia="仿宋_GB2312" w:cs="Times New Roman"/>
          <w:iCs/>
          <w:color w:val="auto"/>
          <w:sz w:val="28"/>
          <w:szCs w:val="28"/>
        </w:rPr>
        <w:t xml:space="preserve"> 深圳市市场监督管理局根据初检、复检结果及企业提交的证明材料，做出复检结论，复检结论为最终结论。</w:t>
      </w:r>
    </w:p>
    <w:p>
      <w:pPr>
        <w:snapToGrid w:val="0"/>
        <w:spacing w:line="360" w:lineRule="auto"/>
        <w:jc w:val="left"/>
        <w:rPr>
          <w:rFonts w:ascii="仿宋_GB2312" w:hAnsi="宋体" w:eastAsia="仿宋_GB2312"/>
          <w:b/>
          <w:color w:val="auto"/>
          <w:sz w:val="28"/>
          <w:szCs w:val="28"/>
        </w:rPr>
      </w:pPr>
      <w:r>
        <w:rPr>
          <w:rFonts w:hint="eastAsia" w:ascii="仿宋_GB2312" w:hAnsi="宋体" w:eastAsia="仿宋_GB2312"/>
          <w:b/>
          <w:color w:val="auto"/>
          <w:sz w:val="28"/>
          <w:szCs w:val="28"/>
        </w:rPr>
        <w:t>9附则</w:t>
      </w:r>
    </w:p>
    <w:p>
      <w:pPr>
        <w:snapToGrid w:val="0"/>
        <w:spacing w:line="360" w:lineRule="auto"/>
        <w:ind w:firstLine="560" w:firstLineChars="200"/>
        <w:jc w:val="left"/>
        <w:rPr>
          <w:rFonts w:ascii="仿宋_GB2312" w:hAnsi="宋体" w:eastAsia="仿宋_GB2312"/>
          <w:iCs/>
          <w:color w:val="auto"/>
          <w:sz w:val="28"/>
          <w:szCs w:val="28"/>
        </w:rPr>
      </w:pPr>
      <w:r>
        <w:rPr>
          <w:rFonts w:hint="eastAsia" w:ascii="仿宋_GB2312" w:hAnsi="宋体" w:eastAsia="仿宋_GB2312"/>
          <w:iCs/>
          <w:color w:val="auto"/>
          <w:sz w:val="28"/>
          <w:szCs w:val="28"/>
        </w:rPr>
        <w:t>本规范编制单位：广东产品质量监督检验研究院。</w:t>
      </w:r>
    </w:p>
    <w:p>
      <w:pPr>
        <w:spacing w:line="360" w:lineRule="auto"/>
        <w:jc w:val="center"/>
        <w:rPr>
          <w:color w:val="auto"/>
          <w:sz w:val="20"/>
        </w:rPr>
      </w:pPr>
      <w:r>
        <w:rPr>
          <w:rFonts w:hint="eastAsia" w:ascii="仿宋_GB2312" w:hAnsi="宋体" w:eastAsia="仿宋_GB2312"/>
          <w:iCs/>
          <w:color w:val="auto"/>
          <w:sz w:val="28"/>
          <w:szCs w:val="28"/>
        </w:rPr>
        <w:t>本规范由深圳市市场监督管理局质量处管理。</w:t>
      </w:r>
      <w:bookmarkStart w:id="0" w:name="_GoBack"/>
      <w:bookmarkEnd w:id="0"/>
    </w:p>
    <w:sectPr>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51"/>
    <w:rsid w:val="00004520"/>
    <w:rsid w:val="00047B9A"/>
    <w:rsid w:val="00061E19"/>
    <w:rsid w:val="00072F2B"/>
    <w:rsid w:val="00082E0A"/>
    <w:rsid w:val="00086032"/>
    <w:rsid w:val="00127289"/>
    <w:rsid w:val="001A2FDD"/>
    <w:rsid w:val="00224E02"/>
    <w:rsid w:val="002569AF"/>
    <w:rsid w:val="00274DEF"/>
    <w:rsid w:val="002846A3"/>
    <w:rsid w:val="002D2665"/>
    <w:rsid w:val="0030490F"/>
    <w:rsid w:val="00326057"/>
    <w:rsid w:val="00346741"/>
    <w:rsid w:val="00371016"/>
    <w:rsid w:val="003A6EB2"/>
    <w:rsid w:val="003B725A"/>
    <w:rsid w:val="003D6D59"/>
    <w:rsid w:val="003E7AE2"/>
    <w:rsid w:val="004203B4"/>
    <w:rsid w:val="004752D2"/>
    <w:rsid w:val="00483B39"/>
    <w:rsid w:val="004A597A"/>
    <w:rsid w:val="004A5A93"/>
    <w:rsid w:val="004B7FB5"/>
    <w:rsid w:val="004C2BE8"/>
    <w:rsid w:val="004C67D8"/>
    <w:rsid w:val="00540477"/>
    <w:rsid w:val="00573F9C"/>
    <w:rsid w:val="00597371"/>
    <w:rsid w:val="0065270F"/>
    <w:rsid w:val="00684A39"/>
    <w:rsid w:val="006F1B55"/>
    <w:rsid w:val="006F2050"/>
    <w:rsid w:val="007040A4"/>
    <w:rsid w:val="00726B78"/>
    <w:rsid w:val="00767FF9"/>
    <w:rsid w:val="00796B25"/>
    <w:rsid w:val="007D146A"/>
    <w:rsid w:val="00807D60"/>
    <w:rsid w:val="00826CE9"/>
    <w:rsid w:val="00866342"/>
    <w:rsid w:val="008B31E4"/>
    <w:rsid w:val="008C1C94"/>
    <w:rsid w:val="008E3F3D"/>
    <w:rsid w:val="008E6E4C"/>
    <w:rsid w:val="00915D4D"/>
    <w:rsid w:val="00930BDD"/>
    <w:rsid w:val="00960AB9"/>
    <w:rsid w:val="00971568"/>
    <w:rsid w:val="009B0BDA"/>
    <w:rsid w:val="00A0528E"/>
    <w:rsid w:val="00A10647"/>
    <w:rsid w:val="00A25F02"/>
    <w:rsid w:val="00A337A8"/>
    <w:rsid w:val="00A40456"/>
    <w:rsid w:val="00A4066B"/>
    <w:rsid w:val="00A56E1C"/>
    <w:rsid w:val="00A65542"/>
    <w:rsid w:val="00A71516"/>
    <w:rsid w:val="00A94575"/>
    <w:rsid w:val="00AA36B0"/>
    <w:rsid w:val="00AC40FF"/>
    <w:rsid w:val="00AD192F"/>
    <w:rsid w:val="00B06D24"/>
    <w:rsid w:val="00B36173"/>
    <w:rsid w:val="00B37EE2"/>
    <w:rsid w:val="00B72051"/>
    <w:rsid w:val="00B73289"/>
    <w:rsid w:val="00BE53DA"/>
    <w:rsid w:val="00C55F0F"/>
    <w:rsid w:val="00D379FC"/>
    <w:rsid w:val="00D42211"/>
    <w:rsid w:val="00D74C30"/>
    <w:rsid w:val="00D82A8F"/>
    <w:rsid w:val="00DD41FC"/>
    <w:rsid w:val="00DF2D66"/>
    <w:rsid w:val="00EC2E4C"/>
    <w:rsid w:val="00EE6D02"/>
    <w:rsid w:val="00F55825"/>
    <w:rsid w:val="00F84101"/>
    <w:rsid w:val="00F87577"/>
    <w:rsid w:val="00FC5F8F"/>
    <w:rsid w:val="00FD1A66"/>
    <w:rsid w:val="0B4F7F27"/>
    <w:rsid w:val="1D294FE9"/>
    <w:rsid w:val="34F607A3"/>
    <w:rsid w:val="3599492B"/>
    <w:rsid w:val="3D72650E"/>
    <w:rsid w:val="4DD20C47"/>
    <w:rsid w:val="65F4598A"/>
    <w:rsid w:val="79F506A9"/>
    <w:rsid w:val="7AFE3E8D"/>
    <w:rsid w:val="7FDA7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1300</Words>
  <Characters>7412</Characters>
  <Lines>61</Lines>
  <Paragraphs>17</Paragraphs>
  <ScaleCrop>false</ScaleCrop>
  <LinksUpToDate>false</LinksUpToDate>
  <CharactersWithSpaces>8695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2019-08-24T08:12:00Z</dcterms:created>
  <dc:creator>李力</dc:creator>
  <cp:lastModifiedBy>常孟园</cp:lastModifiedBy>
  <dcterms:modified xsi:type="dcterms:W3CDTF">2019-09-04T06:43:04Z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