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beforeLines="75" w:line="360" w:lineRule="auto"/>
        <w:jc w:val="center"/>
        <w:rPr>
          <w:rFonts w:ascii="黑体" w:hAnsi="黑体" w:eastAsia="黑体"/>
          <w:color w:val="000000"/>
          <w:sz w:val="36"/>
          <w:szCs w:val="36"/>
        </w:rPr>
      </w:pPr>
      <w:r>
        <w:rPr>
          <w:rFonts w:hint="eastAsia" w:ascii="黑体" w:hAnsi="黑体" w:eastAsia="黑体"/>
          <w:color w:val="000000"/>
          <w:sz w:val="36"/>
          <w:szCs w:val="36"/>
        </w:rPr>
        <w:t>深圳市市场监督管理局中小学运动场地合成材料面层</w:t>
      </w:r>
    </w:p>
    <w:p>
      <w:pPr>
        <w:spacing w:before="234" w:beforeLines="75" w:line="360" w:lineRule="auto"/>
        <w:jc w:val="center"/>
        <w:rPr>
          <w:rFonts w:ascii="黑体" w:hAnsi="黑体" w:eastAsia="黑体"/>
          <w:color w:val="000000"/>
          <w:sz w:val="36"/>
          <w:szCs w:val="36"/>
        </w:rPr>
      </w:pPr>
      <w:r>
        <w:rPr>
          <w:rFonts w:hint="eastAsia" w:ascii="黑体" w:hAnsi="黑体" w:eastAsia="黑体"/>
          <w:color w:val="000000"/>
          <w:sz w:val="36"/>
          <w:szCs w:val="36"/>
        </w:rPr>
        <w:t>产品质量监督抽查实施规范</w:t>
      </w:r>
    </w:p>
    <w:p>
      <w:pPr>
        <w:spacing w:before="234" w:beforeLines="75" w:line="360" w:lineRule="auto"/>
        <w:jc w:val="center"/>
        <w:rPr>
          <w:rFonts w:ascii="黑体" w:hAnsi="黑体" w:eastAsia="黑体"/>
          <w:color w:val="000000"/>
          <w:sz w:val="28"/>
        </w:rPr>
      </w:pPr>
      <w:r>
        <w:rPr>
          <w:rFonts w:hint="eastAsia" w:ascii="黑体" w:hAnsi="黑体" w:eastAsia="黑体"/>
          <w:color w:val="000000"/>
          <w:sz w:val="28"/>
        </w:rPr>
        <w:t>编号</w:t>
      </w:r>
      <w:r>
        <w:rPr>
          <w:rFonts w:ascii="黑体" w:hAnsi="黑体" w:eastAsia="黑体"/>
          <w:color w:val="000000"/>
          <w:sz w:val="28"/>
        </w:rPr>
        <w:t>：CCGF-SZ-</w:t>
      </w:r>
      <w:r>
        <w:rPr>
          <w:rFonts w:hint="eastAsia" w:ascii="黑体" w:hAnsi="黑体" w:eastAsia="黑体"/>
          <w:color w:val="000000"/>
          <w:sz w:val="28"/>
        </w:rPr>
        <w:t>149</w:t>
      </w:r>
      <w:r>
        <w:rPr>
          <w:rFonts w:ascii="黑体" w:hAnsi="黑体" w:eastAsia="黑体"/>
          <w:color w:val="000000"/>
          <w:sz w:val="28"/>
        </w:rPr>
        <w:t>-</w:t>
      </w:r>
      <w:r>
        <w:rPr>
          <w:rFonts w:hint="eastAsia" w:ascii="黑体" w:hAnsi="黑体" w:eastAsia="黑体"/>
          <w:color w:val="000000"/>
          <w:sz w:val="28"/>
        </w:rPr>
        <w:t>2019</w:t>
      </w:r>
    </w:p>
    <w:p>
      <w:pPr>
        <w:spacing w:before="234" w:beforeLines="75" w:line="360" w:lineRule="auto"/>
        <w:jc w:val="center"/>
        <w:rPr>
          <w:rFonts w:ascii="仿宋_GB2312" w:hAnsi="宋体" w:eastAsia="仿宋_GB2312" w:cs="Times New Roman"/>
          <w:b/>
          <w:color w:val="000000"/>
          <w:szCs w:val="21"/>
        </w:rPr>
      </w:pPr>
      <w:r>
        <w:rPr>
          <w:rFonts w:hint="eastAsia" w:ascii="黑体" w:hAnsi="黑体" w:eastAsia="黑体"/>
          <w:color w:val="000000"/>
          <w:sz w:val="28"/>
        </w:rPr>
        <w:t xml:space="preserve"> </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 适用范围</w:t>
      </w:r>
    </w:p>
    <w:p>
      <w:pPr>
        <w:snapToGrid w:val="0"/>
        <w:spacing w:line="360" w:lineRule="auto"/>
        <w:ind w:firstLine="548" w:firstLineChars="196"/>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本规范适用于深圳市中小学运动场地合成材料面层产品质量监督抽查。监督抽查产品范围适用于：现浇型面层、预制型面层、人造草面层。</w:t>
      </w:r>
    </w:p>
    <w:p>
      <w:pPr>
        <w:snapToGrid w:val="0"/>
        <w:spacing w:line="360" w:lineRule="auto"/>
        <w:ind w:firstLine="548" w:firstLineChars="196"/>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2产品种类</w:t>
      </w:r>
    </w:p>
    <w:p>
      <w:pPr>
        <w:snapToGrid w:val="0"/>
        <w:spacing w:line="360" w:lineRule="auto"/>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产品种类见表1。</w:t>
      </w:r>
    </w:p>
    <w:p>
      <w:pPr>
        <w:snapToGrid w:val="0"/>
        <w:jc w:val="center"/>
        <w:rPr>
          <w:rFonts w:ascii="黑体" w:hAnsi="黑体" w:eastAsia="黑体" w:cs="Times New Roman"/>
          <w:color w:val="000000"/>
          <w:sz w:val="28"/>
          <w:szCs w:val="28"/>
        </w:rPr>
      </w:pPr>
      <w:r>
        <w:rPr>
          <w:rFonts w:hint="eastAsia" w:ascii="黑体" w:hAnsi="黑体" w:eastAsia="黑体" w:cs="Times New Roman"/>
          <w:color w:val="000000"/>
          <w:sz w:val="28"/>
          <w:szCs w:val="28"/>
        </w:rPr>
        <w:t>表1  产品种类</w:t>
      </w:r>
    </w:p>
    <w:tbl>
      <w:tblPr>
        <w:tblStyle w:val="22"/>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产品种类</w:t>
            </w:r>
          </w:p>
        </w:tc>
        <w:tc>
          <w:tcPr>
            <w:tcW w:w="6305"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合成材料面层</w:t>
            </w:r>
          </w:p>
        </w:tc>
        <w:tc>
          <w:tcPr>
            <w:tcW w:w="6305" w:type="dxa"/>
            <w:vAlign w:val="center"/>
          </w:tcPr>
          <w:p>
            <w:pPr>
              <w:autoSpaceDE w:val="0"/>
              <w:autoSpaceDN w:val="0"/>
              <w:adjustRightInd w:val="0"/>
              <w:spacing w:line="300" w:lineRule="exact"/>
              <w:rPr>
                <w:rFonts w:ascii="宋体" w:hAnsi="宋体" w:cs="宋体"/>
                <w:color w:val="000000"/>
                <w:kern w:val="0"/>
                <w:sz w:val="24"/>
              </w:rPr>
            </w:pPr>
            <w:r>
              <w:rPr>
                <w:rFonts w:hint="eastAsia" w:ascii="仿宋_GB2312" w:hAnsi="宋体" w:eastAsia="仿宋_GB2312" w:cs="Times New Roman"/>
                <w:color w:val="000000"/>
                <w:sz w:val="24"/>
                <w:szCs w:val="21"/>
              </w:rPr>
              <w:t>现浇型面层、预制型面层、人造草面层等。</w:t>
            </w:r>
          </w:p>
        </w:tc>
      </w:tr>
    </w:tbl>
    <w:p>
      <w:pPr>
        <w:snapToGrid w:val="0"/>
        <w:spacing w:before="156" w:beforeLines="50"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 术语和定义</w:t>
      </w:r>
    </w:p>
    <w:p>
      <w:pPr>
        <w:snapToGrid w:val="0"/>
        <w:spacing w:line="360" w:lineRule="auto"/>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术语和定义见表2。</w:t>
      </w:r>
    </w:p>
    <w:p>
      <w:pPr>
        <w:snapToGrid w:val="0"/>
        <w:jc w:val="center"/>
        <w:rPr>
          <w:rFonts w:ascii="黑体" w:hAnsi="黑体" w:eastAsia="黑体" w:cs="Times New Roman"/>
          <w:color w:val="000000"/>
          <w:sz w:val="28"/>
          <w:szCs w:val="28"/>
        </w:rPr>
      </w:pPr>
      <w:r>
        <w:rPr>
          <w:rFonts w:hint="eastAsia" w:ascii="黑体" w:hAnsi="黑体" w:eastAsia="黑体" w:cs="Times New Roman"/>
          <w:color w:val="000000"/>
          <w:sz w:val="28"/>
          <w:szCs w:val="28"/>
        </w:rPr>
        <w:t>表2 术语和定义</w:t>
      </w:r>
    </w:p>
    <w:tbl>
      <w:tblPr>
        <w:tblStyle w:val="22"/>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产品种类</w:t>
            </w:r>
          </w:p>
        </w:tc>
        <w:tc>
          <w:tcPr>
            <w:tcW w:w="6447"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现浇型面层</w:t>
            </w:r>
          </w:p>
        </w:tc>
        <w:tc>
          <w:tcPr>
            <w:tcW w:w="6447" w:type="dxa"/>
            <w:vAlign w:val="center"/>
          </w:tcPr>
          <w:p>
            <w:pPr>
              <w:autoSpaceDE w:val="0"/>
              <w:autoSpaceDN w:val="0"/>
              <w:adjustRightInd w:val="0"/>
              <w:jc w:val="left"/>
              <w:rPr>
                <w:rFonts w:ascii="仿宋_GB2312" w:hAnsi="宋体" w:eastAsia="仿宋_GB2312" w:cs="Times New Roman"/>
                <w:color w:val="000000"/>
                <w:sz w:val="24"/>
                <w:szCs w:val="24"/>
              </w:rPr>
            </w:pPr>
            <w:r>
              <w:rPr>
                <w:rFonts w:hint="eastAsia" w:ascii="仿宋_GB2312" w:eastAsia="仿宋_GB2312" w:cs="宋体"/>
                <w:color w:val="000000"/>
                <w:kern w:val="0"/>
                <w:sz w:val="24"/>
                <w:szCs w:val="24"/>
              </w:rPr>
              <w:t>将高分子原料和其他原料在现场浇注铺装的面层。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预制型面层</w:t>
            </w:r>
          </w:p>
        </w:tc>
        <w:tc>
          <w:tcPr>
            <w:tcW w:w="6447" w:type="dxa"/>
            <w:vAlign w:val="center"/>
          </w:tcPr>
          <w:p>
            <w:pPr>
              <w:autoSpaceDE w:val="0"/>
              <w:autoSpaceDN w:val="0"/>
              <w:adjustRightInd w:val="0"/>
              <w:jc w:val="left"/>
              <w:rPr>
                <w:rFonts w:ascii="仿宋_GB2312" w:eastAsia="仿宋_GB2312" w:cs="宋体"/>
                <w:color w:val="000000"/>
                <w:kern w:val="0"/>
                <w:sz w:val="24"/>
                <w:szCs w:val="24"/>
              </w:rPr>
            </w:pPr>
            <w:r>
              <w:rPr>
                <w:rFonts w:hint="eastAsia" w:ascii="仿宋_GB2312" w:hAnsi="宋体" w:eastAsia="仿宋_GB2312" w:cs="Times New Roman"/>
                <w:color w:val="000000"/>
                <w:sz w:val="24"/>
                <w:szCs w:val="24"/>
              </w:rPr>
              <w:t>按一定的生产工艺流程将高分子合成材料预先制备成一定厚度的卷材或块材，至现场粘结或拼装的面层。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人造草面层</w:t>
            </w:r>
          </w:p>
        </w:tc>
        <w:tc>
          <w:tcPr>
            <w:tcW w:w="6447" w:type="dxa"/>
            <w:vAlign w:val="center"/>
          </w:tcPr>
          <w:p>
            <w:pPr>
              <w:autoSpaceDE w:val="0"/>
              <w:autoSpaceDN w:val="0"/>
              <w:adjustRightInd w:val="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以类似天然草的合成纤维经机械编织固定于底布层上所形成的合成材料面层。</w:t>
            </w:r>
          </w:p>
        </w:tc>
      </w:tr>
    </w:tbl>
    <w:p>
      <w:pPr>
        <w:snapToGrid w:val="0"/>
        <w:spacing w:before="156" w:beforeLines="50"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 检验依据</w:t>
      </w:r>
    </w:p>
    <w:p>
      <w:pPr>
        <w:snapToGrid w:val="0"/>
        <w:spacing w:line="360" w:lineRule="auto"/>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检验依据见表3。</w:t>
      </w:r>
    </w:p>
    <w:p>
      <w:pPr>
        <w:snapToGrid w:val="0"/>
        <w:jc w:val="center"/>
        <w:rPr>
          <w:rStyle w:val="20"/>
          <w:rFonts w:ascii="Times New Roman" w:hAnsi="Times New Roman" w:eastAsia="宋体" w:cs="Times New Roman"/>
          <w:color w:val="000000"/>
        </w:rPr>
      </w:pPr>
      <w:r>
        <w:rPr>
          <w:rFonts w:hint="eastAsia" w:ascii="黑体" w:hAnsi="黑体" w:eastAsia="黑体" w:cs="Times New Roman"/>
          <w:color w:val="000000"/>
          <w:sz w:val="28"/>
          <w:szCs w:val="28"/>
        </w:rPr>
        <w:t>表3 检验依据</w:t>
      </w:r>
    </w:p>
    <w:tbl>
      <w:tblPr>
        <w:tblStyle w:val="22"/>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4692"/>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58"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标准号</w:t>
            </w:r>
          </w:p>
        </w:tc>
        <w:tc>
          <w:tcPr>
            <w:tcW w:w="4692"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标准名称</w:t>
            </w:r>
          </w:p>
        </w:tc>
        <w:tc>
          <w:tcPr>
            <w:tcW w:w="2774" w:type="dxa"/>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GB 36246-2018</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w:t>
            </w:r>
            <w:r>
              <w:rPr>
                <w:rFonts w:hint="eastAsia" w:ascii="仿宋_GB2312" w:hAnsi="宋体" w:eastAsia="仿宋_GB2312" w:cs="Times New Roman"/>
                <w:color w:val="000000"/>
                <w:sz w:val="24"/>
                <w:szCs w:val="21"/>
              </w:rPr>
              <w:t>中小学合成材料面层运动场地</w:t>
            </w:r>
            <w:r>
              <w:rPr>
                <w:rFonts w:ascii="仿宋_GB2312" w:hAnsi="宋体" w:eastAsia="仿宋_GB2312" w:cs="Times New Roman"/>
                <w:color w:val="000000"/>
                <w:sz w:val="24"/>
                <w:szCs w:val="21"/>
              </w:rPr>
              <w:t>》</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0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GB/T 22517.6-2011</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《体育场地使用要求及检验方法第6部分：田径场地》</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0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GB/T 14833-2011</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《合成材料跑道面层》</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0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GB/T 18446-2009</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w:t>
            </w:r>
            <w:r>
              <w:rPr>
                <w:rFonts w:hint="eastAsia" w:ascii="仿宋_GB2312" w:hAnsi="宋体" w:eastAsia="仿宋_GB2312" w:cs="Times New Roman"/>
                <w:color w:val="000000"/>
                <w:sz w:val="24"/>
                <w:szCs w:val="21"/>
              </w:rPr>
              <w:t>色漆和清漆用漆基 异氰酸酯树脂中二异氰酸酯单体的测定</w:t>
            </w:r>
            <w:r>
              <w:rPr>
                <w:rFonts w:ascii="仿宋_GB2312" w:hAnsi="宋体" w:eastAsia="仿宋_GB2312" w:cs="Times New Roman"/>
                <w:color w:val="000000"/>
                <w:sz w:val="24"/>
                <w:szCs w:val="21"/>
              </w:rPr>
              <w:t>》</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GB/T 23991-2009</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w:t>
            </w:r>
            <w:r>
              <w:rPr>
                <w:rFonts w:hint="eastAsia" w:ascii="仿宋_GB2312" w:hAnsi="宋体" w:eastAsia="仿宋_GB2312" w:cs="Times New Roman"/>
                <w:color w:val="000000"/>
                <w:sz w:val="24"/>
                <w:szCs w:val="21"/>
              </w:rPr>
              <w:t>涂料中可溶性有害元素含量的测定</w:t>
            </w:r>
            <w:r>
              <w:rPr>
                <w:rFonts w:ascii="仿宋_GB2312" w:hAnsi="宋体" w:eastAsia="仿宋_GB2312" w:cs="Times New Roman"/>
                <w:color w:val="000000"/>
                <w:sz w:val="24"/>
                <w:szCs w:val="21"/>
              </w:rPr>
              <w:t>》</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GB/T 4498.1-2013</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《橡胶 灰分的测定 第1部分：马弗炉法》</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ascii="仿宋_GB2312" w:hAnsi="宋体" w:eastAsia="仿宋_GB2312" w:cs="Times New Roman"/>
                <w:color w:val="000000"/>
                <w:sz w:val="24"/>
                <w:szCs w:val="21"/>
              </w:rPr>
              <w:t>QB/T 1090-2001</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《地毯绒簇拔出力的试验方法》</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GB/T 14837.1-2014</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《橡胶和橡胶制品 热重分析法测定硫化胶和未硫化胶的成分 第1部分：丁二烯橡胶、乙烯-丙烯二元和三元共聚物、异丁烯-异戊二烯橡胶、异戊二烯橡胶、苯乙烯-丁二烯橡胶》</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58"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GB/T 14837.2-2014</w:t>
            </w:r>
          </w:p>
        </w:tc>
        <w:tc>
          <w:tcPr>
            <w:tcW w:w="4692"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t>《橡胶和橡胶制品 热重分析法测定硫化胶和未硫化胶的成分 第2部分：丙烯腈-丁二烯橡胶和卤化丁基橡胶》</w:t>
            </w:r>
          </w:p>
        </w:tc>
        <w:tc>
          <w:tcPr>
            <w:tcW w:w="2774" w:type="dxa"/>
            <w:vAlign w:val="center"/>
          </w:tcPr>
          <w:p>
            <w:pPr>
              <w:autoSpaceDE w:val="0"/>
              <w:autoSpaceDN w:val="0"/>
              <w:adjustRightInd w:val="0"/>
              <w:jc w:val="center"/>
              <w:rPr>
                <w:rFonts w:ascii="仿宋_GB2312" w:hAnsi="宋体" w:eastAsia="仿宋_GB2312" w:cs="Times New Roman"/>
                <w:color w:val="000000"/>
                <w:sz w:val="24"/>
                <w:szCs w:val="21"/>
              </w:rPr>
            </w:pP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CMA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 xml:space="preserve">CAL </w:t>
            </w:r>
            <w:r>
              <w:rPr>
                <w:rFonts w:hint="eastAsia" w:ascii="仿宋_GB2312" w:hAnsi="宋体" w:eastAsia="仿宋_GB2312" w:cs="Times New Roman"/>
                <w:color w:val="000000"/>
                <w:sz w:val="24"/>
                <w:szCs w:val="21"/>
              </w:rPr>
              <w:sym w:font="Wingdings 2" w:char="F052"/>
            </w:r>
            <w:r>
              <w:rPr>
                <w:rFonts w:hint="eastAsia" w:ascii="仿宋_GB2312" w:hAnsi="宋体" w:eastAsia="仿宋_GB2312" w:cs="Times New Roman"/>
                <w:color w:val="000000"/>
                <w:sz w:val="24"/>
                <w:szCs w:val="21"/>
              </w:rPr>
              <w:t>CNAS</w:t>
            </w:r>
          </w:p>
        </w:tc>
      </w:tr>
    </w:tbl>
    <w:p>
      <w:pPr>
        <w:snapToGrid w:val="0"/>
        <w:spacing w:line="360" w:lineRule="auto"/>
        <w:ind w:firstLine="548" w:firstLineChars="196"/>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 抽样</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5.1 抽样型号或规格</w:t>
      </w:r>
    </w:p>
    <w:p>
      <w:pPr>
        <w:snapToGrid w:val="0"/>
        <w:spacing w:line="360" w:lineRule="auto"/>
        <w:ind w:firstLine="537" w:firstLineChars="192"/>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抽取样品须为同一型号规格，同一批次的产品。</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针对2018年11月1日后铺设场地的学校清单,</w:t>
      </w:r>
      <w:r>
        <w:rPr>
          <w:rFonts w:hint="eastAsia"/>
          <w:color w:val="000000"/>
        </w:rPr>
        <w:t xml:space="preserve"> </w:t>
      </w:r>
      <w:r>
        <w:rPr>
          <w:rFonts w:hint="eastAsia" w:ascii="仿宋_GB2312" w:hAnsi="宋体" w:eastAsia="仿宋_GB2312" w:cs="Times New Roman"/>
          <w:color w:val="000000"/>
          <w:sz w:val="28"/>
          <w:szCs w:val="28"/>
        </w:rPr>
        <w:t>应在合成材料面层铺装完成14天后直接从运动场地上挖取，</w:t>
      </w:r>
      <w:r>
        <w:rPr>
          <w:rFonts w:ascii="仿宋_GB2312" w:hAnsi="宋体" w:eastAsia="仿宋_GB2312" w:cs="Times New Roman"/>
          <w:color w:val="000000"/>
          <w:sz w:val="28"/>
          <w:szCs w:val="28"/>
        </w:rPr>
        <w:t>厚度</w:t>
      </w:r>
      <w:r>
        <w:rPr>
          <w:rFonts w:hint="eastAsia" w:ascii="仿宋_GB2312" w:hAnsi="宋体" w:eastAsia="仿宋_GB2312" w:cs="Times New Roman"/>
          <w:color w:val="000000"/>
          <w:sz w:val="28"/>
          <w:szCs w:val="28"/>
        </w:rPr>
        <w:t>检测</w:t>
      </w:r>
      <w:r>
        <w:rPr>
          <w:rFonts w:ascii="仿宋_GB2312" w:hAnsi="宋体" w:eastAsia="仿宋_GB2312" w:cs="Times New Roman"/>
          <w:color w:val="000000"/>
          <w:sz w:val="28"/>
          <w:szCs w:val="28"/>
        </w:rPr>
        <w:t>在现场进行</w:t>
      </w:r>
      <w:r>
        <w:rPr>
          <w:rFonts w:hint="eastAsia" w:ascii="仿宋_GB2312" w:hAnsi="宋体" w:eastAsia="仿宋_GB2312" w:cs="Times New Roman"/>
          <w:color w:val="000000"/>
          <w:sz w:val="28"/>
          <w:szCs w:val="28"/>
        </w:rPr>
        <w:t>。</w:t>
      </w:r>
    </w:p>
    <w:p>
      <w:pPr>
        <w:adjustRightInd w:val="0"/>
        <w:snapToGrid w:val="0"/>
        <w:spacing w:line="360" w:lineRule="auto"/>
        <w:ind w:firstLine="560" w:firstLineChars="200"/>
        <w:rPr>
          <w:rFonts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合成材料场地现场取样位置的确定规则应满足</w:t>
      </w:r>
      <w:r>
        <w:rPr>
          <w:rFonts w:ascii="仿宋_GB2312" w:hAnsi="宋体" w:eastAsia="仿宋_GB2312" w:cs="Times New Roman"/>
          <w:color w:val="000000"/>
          <w:sz w:val="28"/>
          <w:szCs w:val="28"/>
        </w:rPr>
        <w:t>GB 36246-2018</w:t>
      </w:r>
      <w:r>
        <w:rPr>
          <w:rFonts w:hint="eastAsia" w:ascii="仿宋_GB2312" w:hAnsi="宋体" w:eastAsia="仿宋_GB2312" w:cs="Times New Roman"/>
          <w:color w:val="000000"/>
          <w:sz w:val="28"/>
          <w:szCs w:val="28"/>
        </w:rPr>
        <w:t>附录K的要求，以运动场地为一个平面，以其相邻两边为坐标轴，通过产生随机数的方式确定取样坐标。检验样品和备用样品均应采用随机数的方式确定取样坐标，两个取样中心点之间的直线距离不应小于10</w:t>
      </w:r>
      <w:r>
        <w:rPr>
          <w:rFonts w:ascii="仿宋_GB2312" w:hAnsi="宋体" w:eastAsia="仿宋_GB2312" w:cs="Times New Roman"/>
          <w:color w:val="000000"/>
          <w:sz w:val="28"/>
          <w:szCs w:val="28"/>
        </w:rPr>
        <w:t>m</w:t>
      </w:r>
      <w:r>
        <w:rPr>
          <w:rFonts w:hint="eastAsia" w:ascii="仿宋_GB2312" w:hAnsi="宋体" w:eastAsia="仿宋_GB2312" w:cs="Times New Roman"/>
          <w:color w:val="000000"/>
          <w:sz w:val="28"/>
          <w:szCs w:val="28"/>
        </w:rPr>
        <w:t>。</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5.3 抽样基数</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抽样基数满足抽样数量即可。</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5.4 抽样数量</w:t>
      </w:r>
    </w:p>
    <w:p>
      <w:pPr>
        <w:snapToGrid w:val="0"/>
        <w:spacing w:line="360" w:lineRule="auto"/>
        <w:ind w:firstLine="560" w:firstLineChars="200"/>
        <w:rPr>
          <w:rFonts w:ascii="仿宋_GB2312" w:hAnsi="宋体" w:eastAsia="仿宋_GB2312" w:cs="Calibri"/>
          <w:color w:val="000000"/>
          <w:sz w:val="28"/>
          <w:szCs w:val="28"/>
        </w:rPr>
      </w:pPr>
      <w:r>
        <w:rPr>
          <w:rFonts w:hint="eastAsia" w:ascii="仿宋_GB2312" w:hAnsi="宋体" w:eastAsia="仿宋_GB2312" w:cs="Calibri"/>
          <w:color w:val="000000"/>
          <w:sz w:val="28"/>
          <w:szCs w:val="28"/>
        </w:rPr>
        <w:t>有害物质限量及气味检测用样品应铺装现场裁取不小于300 mm×400 mm×实际厚度的样品2块，1块作为检验样品，1块作为备用样品，检验样品和备份样品均带回承检机构。</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5.5 样品处置</w:t>
      </w:r>
    </w:p>
    <w:p>
      <w:pPr>
        <w:spacing w:line="360" w:lineRule="auto"/>
        <w:rPr>
          <w:rFonts w:ascii="仿宋_GB2312" w:hAnsi="宋体" w:eastAsia="仿宋_GB2312" w:cs="Times New Roman"/>
          <w:color w:val="000000"/>
          <w:sz w:val="28"/>
          <w:szCs w:val="28"/>
        </w:rPr>
      </w:pPr>
      <w:r>
        <w:rPr>
          <w:rFonts w:hint="eastAsia" w:ascii="仿宋_GB2312" w:hAnsi="ˎ̥" w:eastAsia="仿宋_GB2312" w:cs="Times New Roman"/>
          <w:b/>
          <w:color w:val="000000"/>
          <w:sz w:val="28"/>
          <w:szCs w:val="28"/>
        </w:rPr>
        <w:t>5.5.1</w:t>
      </w:r>
      <w:r>
        <w:rPr>
          <w:rFonts w:hint="eastAsia" w:ascii="仿宋_GB2312" w:hAnsi="宋体" w:eastAsia="仿宋_GB2312" w:cs="Times New Roman"/>
          <w:color w:val="000000"/>
          <w:sz w:val="28"/>
          <w:szCs w:val="28"/>
        </w:rPr>
        <w:t>被抽查样品取样后应装入聚乙烯或聚四氟乙烯袋密封保存，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sz w:val="28"/>
          <w:szCs w:val="28"/>
        </w:rPr>
      </w:pPr>
      <w:r>
        <w:rPr>
          <w:rFonts w:hint="eastAsia" w:ascii="仿宋_GB2312" w:hAnsi="宋体" w:eastAsia="仿宋_GB2312" w:cs="Times New Roman"/>
          <w:b/>
          <w:color w:val="000000"/>
          <w:sz w:val="28"/>
          <w:szCs w:val="28"/>
        </w:rPr>
        <w:t>5.5.2</w:t>
      </w:r>
      <w:r>
        <w:rPr>
          <w:rFonts w:hint="eastAsia" w:ascii="仿宋_GB2312" w:hAnsi="Calibri" w:eastAsia="仿宋_GB2312" w:cs="Times New Roman"/>
          <w:color w:val="000000"/>
          <w:sz w:val="28"/>
          <w:szCs w:val="28"/>
        </w:rPr>
        <w:t>样品由抽样人负责送至指定的检验机构相关部门，样品运输过程中应避免因扭曲、挤压、受潮、化学污染或高温等改变样品物理或化学完整性，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5.6 抽样单</w:t>
      </w:r>
    </w:p>
    <w:p>
      <w:pPr>
        <w:snapToGrid w:val="0"/>
        <w:spacing w:line="360" w:lineRule="auto"/>
        <w:ind w:firstLine="537" w:firstLineChars="192"/>
        <w:rPr>
          <w:rFonts w:ascii="仿宋_GB2312" w:eastAsia="仿宋_GB2312" w:cs="Sim Sun"/>
          <w:color w:val="000000"/>
          <w:kern w:val="0"/>
          <w:sz w:val="28"/>
          <w:szCs w:val="28"/>
        </w:rPr>
      </w:pPr>
      <w:r>
        <w:rPr>
          <w:rFonts w:hint="eastAsia" w:ascii="仿宋_GB2312" w:hAnsi="宋体" w:eastAsia="仿宋_GB2312"/>
          <w:color w:val="000000"/>
          <w:sz w:val="28"/>
          <w:szCs w:val="28"/>
        </w:rPr>
        <w:t>应按有关规定填写抽样单，并记录被抽查产品及企业相关信息。应</w:t>
      </w:r>
      <w:r>
        <w:rPr>
          <w:rFonts w:ascii="仿宋_GB2312" w:hAnsi="宋体" w:eastAsia="仿宋_GB2312"/>
          <w:color w:val="000000"/>
          <w:sz w:val="28"/>
          <w:szCs w:val="28"/>
        </w:rPr>
        <w:t>记录</w:t>
      </w:r>
      <w:r>
        <w:rPr>
          <w:rFonts w:hint="eastAsia" w:ascii="仿宋_GB2312" w:hAnsi="宋体" w:eastAsia="仿宋_GB2312"/>
          <w:color w:val="000000"/>
          <w:sz w:val="28"/>
          <w:szCs w:val="28"/>
        </w:rPr>
        <w:t>建设方</w:t>
      </w:r>
      <w:r>
        <w:rPr>
          <w:rFonts w:ascii="仿宋_GB2312" w:hAnsi="宋体" w:eastAsia="仿宋_GB2312"/>
          <w:color w:val="000000"/>
          <w:sz w:val="28"/>
          <w:szCs w:val="28"/>
        </w:rPr>
        <w:t>、施工方和原材料供应商信息。</w:t>
      </w:r>
    </w:p>
    <w:p>
      <w:pPr>
        <w:snapToGri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6 检验要求</w:t>
      </w:r>
    </w:p>
    <w:p>
      <w:pPr>
        <w:snapToGrid w:val="0"/>
        <w:spacing w:line="360" w:lineRule="auto"/>
        <w:rPr>
          <w:rStyle w:val="20"/>
          <w:rFonts w:ascii="Times New Roman" w:hAnsi="Times New Roman" w:eastAsia="宋体" w:cs="Times New Roman"/>
          <w:color w:val="000000"/>
        </w:rPr>
      </w:pPr>
      <w:r>
        <w:rPr>
          <w:rFonts w:hint="eastAsia" w:ascii="仿宋_GB2312" w:hAnsi="宋体" w:eastAsia="仿宋_GB2312" w:cs="Times New Roman"/>
          <w:b/>
          <w:color w:val="000000"/>
          <w:sz w:val="28"/>
          <w:szCs w:val="28"/>
        </w:rPr>
        <w:t>6.1 检验项目</w:t>
      </w:r>
    </w:p>
    <w:p>
      <w:pPr>
        <w:widowControl/>
        <w:adjustRightInd w:val="0"/>
        <w:snapToGrid w:val="0"/>
        <w:spacing w:line="640" w:lineRule="exact"/>
        <w:ind w:firstLine="562" w:firstLineChars="200"/>
        <w:rPr>
          <w:rFonts w:ascii="楷体_GB2312" w:hAnsi="Times New Roman" w:eastAsia="楷体_GB2312" w:cs="Times New Roman"/>
          <w:b/>
          <w:bCs/>
          <w:color w:val="000000"/>
          <w:kern w:val="0"/>
          <w:sz w:val="28"/>
          <w:szCs w:val="28"/>
        </w:rPr>
      </w:pPr>
      <w:r>
        <w:rPr>
          <w:rFonts w:hint="eastAsia" w:ascii="楷体_GB2312" w:hAnsi="Times New Roman" w:eastAsia="楷体_GB2312" w:cs="Times New Roman"/>
          <w:b/>
          <w:bCs/>
          <w:color w:val="000000"/>
          <w:kern w:val="0"/>
          <w:sz w:val="28"/>
          <w:szCs w:val="28"/>
        </w:rPr>
        <w:t>（一）现浇型和预制型面层</w:t>
      </w:r>
    </w:p>
    <w:tbl>
      <w:tblPr>
        <w:tblStyle w:val="22"/>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30"/>
        <w:gridCol w:w="2056"/>
        <w:gridCol w:w="991"/>
        <w:gridCol w:w="247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00"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序号</w:t>
            </w:r>
          </w:p>
        </w:tc>
        <w:tc>
          <w:tcPr>
            <w:tcW w:w="2130"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检验项目</w:t>
            </w:r>
          </w:p>
        </w:tc>
        <w:tc>
          <w:tcPr>
            <w:tcW w:w="2056"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依据法律法规</w:t>
            </w:r>
          </w:p>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或标准条款</w:t>
            </w:r>
          </w:p>
        </w:tc>
        <w:tc>
          <w:tcPr>
            <w:tcW w:w="991"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项目性质</w:t>
            </w:r>
          </w:p>
        </w:tc>
        <w:tc>
          <w:tcPr>
            <w:tcW w:w="2475"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检测</w:t>
            </w:r>
            <w:r>
              <w:rPr>
                <w:rFonts w:hint="eastAsia" w:ascii="黑体" w:hAnsi="黑体" w:eastAsia="黑体"/>
                <w:color w:val="000000"/>
                <w:sz w:val="24"/>
              </w:rPr>
              <w:t>方法</w:t>
            </w:r>
          </w:p>
        </w:tc>
        <w:tc>
          <w:tcPr>
            <w:tcW w:w="822"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复检</w:t>
            </w:r>
          </w:p>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厚度</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GB/T 22517.6-2011</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冲击吸收</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3</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垂直变形</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4</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抗滑值</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5</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拉伸强度</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6</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断裂伸长率</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7</w:t>
            </w:r>
          </w:p>
        </w:tc>
        <w:tc>
          <w:tcPr>
            <w:tcW w:w="2130"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阻燃性能</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GB/T 14833-2011</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8</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3种邻苯二甲酸酯类化合物（DBP、BBP、DEHP）总和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9</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3种邻苯二甲酸酯类化合物（DNOP、DINP、DIDP）总和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0</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18种多环芳烃总和</w:t>
            </w:r>
            <w:r>
              <w:rPr>
                <w:rFonts w:hint="eastAsia" w:ascii="仿宋_GB2312" w:eastAsia="仿宋_GB2312"/>
                <w:color w:val="000000"/>
                <w:szCs w:val="21"/>
                <w:vertAlign w:val="superscript"/>
              </w:rPr>
              <w:t>a</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1</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苯并[a]芘</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2</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短链氯化石蜡</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3</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4,4'-二氨基-3,3'-二氯二苯甲烷（MOCA）</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4</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游离甲苯二异氰酸酯（TDI）和游离六亚甲基二异氰酸酯（HDI）总和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18446-2009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5</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游离二苯基甲烷二异氰酸酯（MDI）</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18446-2009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6</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可溶性铅</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7</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可溶性镉</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8</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可溶性铬</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9</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可溶性汞</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20</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总挥发性有机化合物（TVOC）</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21</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甲醛</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22</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苯</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23</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甲苯、二甲苯和乙苯总和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24</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二硫化碳</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25</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气味等级</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0"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26</w:t>
            </w:r>
          </w:p>
        </w:tc>
        <w:tc>
          <w:tcPr>
            <w:tcW w:w="2130"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无机填料含量</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4498.1-2013</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74" w:type="dxa"/>
            <w:gridSpan w:val="6"/>
            <w:vAlign w:val="center"/>
          </w:tcPr>
          <w:p>
            <w:pPr>
              <w:autoSpaceDE w:val="0"/>
              <w:autoSpaceDN w:val="0"/>
              <w:adjustRightInd w:val="0"/>
              <w:jc w:val="left"/>
              <w:rPr>
                <w:rFonts w:ascii="仿宋_GB2312" w:hAnsi="宋体" w:eastAsia="仿宋_GB2312" w:cs="Times New Roman"/>
                <w:color w:val="000000"/>
                <w:sz w:val="24"/>
                <w:szCs w:val="24"/>
              </w:rPr>
            </w:pPr>
            <w:r>
              <w:rPr>
                <w:rFonts w:hint="eastAsia" w:ascii="仿宋_GB2312" w:eastAsia="仿宋_GB2312"/>
                <w:color w:val="000000"/>
                <w:szCs w:val="21"/>
                <w:vertAlign w:val="superscript"/>
              </w:rPr>
              <w:t>a</w:t>
            </w:r>
            <w:r>
              <w:rPr>
                <w:rFonts w:hint="eastAsia" w:ascii="仿宋_GB2312" w:eastAsia="仿宋_GB2312"/>
                <w:color w:val="000000"/>
                <w:szCs w:val="21"/>
              </w:rPr>
              <w:t>分别取合成材料面层及距合成材料面层上表面</w:t>
            </w:r>
            <w:r>
              <w:rPr>
                <w:rFonts w:ascii="仿宋_GB2312" w:eastAsia="仿宋_GB2312"/>
                <w:color w:val="000000"/>
                <w:szCs w:val="21"/>
              </w:rPr>
              <w:t>5 mm</w:t>
            </w:r>
            <w:r>
              <w:rPr>
                <w:rFonts w:hint="eastAsia" w:ascii="仿宋_GB2312" w:eastAsia="仿宋_GB2312"/>
                <w:color w:val="000000"/>
                <w:szCs w:val="21"/>
              </w:rPr>
              <w:t>以内的部分进行测试。</w:t>
            </w:r>
            <w:r>
              <w:rPr>
                <w:rFonts w:ascii="仿宋_GB2312" w:eastAsia="仿宋_GB2312"/>
                <w:color w:val="000000"/>
                <w:szCs w:val="21"/>
              </w:rPr>
              <w:t xml:space="preserve"> </w:t>
            </w:r>
          </w:p>
        </w:tc>
      </w:tr>
    </w:tbl>
    <w:p>
      <w:pPr>
        <w:widowControl/>
        <w:adjustRightInd w:val="0"/>
        <w:snapToGrid w:val="0"/>
        <w:spacing w:line="640" w:lineRule="exact"/>
        <w:ind w:firstLine="562" w:firstLineChars="200"/>
        <w:rPr>
          <w:rFonts w:ascii="楷体_GB2312" w:hAnsi="Times New Roman" w:eastAsia="楷体_GB2312" w:cs="Times New Roman"/>
          <w:b/>
          <w:bCs/>
          <w:color w:val="000000"/>
          <w:kern w:val="0"/>
          <w:sz w:val="28"/>
          <w:szCs w:val="28"/>
        </w:rPr>
      </w:pPr>
      <w:r>
        <w:rPr>
          <w:rFonts w:hint="eastAsia" w:ascii="楷体_GB2312" w:hAnsi="Times New Roman" w:eastAsia="楷体_GB2312" w:cs="Times New Roman"/>
          <w:b/>
          <w:bCs/>
          <w:color w:val="000000"/>
          <w:kern w:val="0"/>
          <w:sz w:val="28"/>
          <w:szCs w:val="28"/>
        </w:rPr>
        <w:t>（二）人造草面层</w:t>
      </w:r>
    </w:p>
    <w:p>
      <w:pPr>
        <w:widowControl/>
        <w:adjustRightInd w:val="0"/>
        <w:snapToGrid w:val="0"/>
        <w:spacing w:line="640" w:lineRule="exact"/>
        <w:ind w:firstLine="562" w:firstLineChars="200"/>
        <w:rPr>
          <w:rFonts w:ascii="楷体_GB2312" w:hAnsi="Times New Roman" w:eastAsia="楷体_GB2312" w:cs="Times New Roman"/>
          <w:b/>
          <w:bCs/>
          <w:color w:val="000000"/>
          <w:kern w:val="0"/>
          <w:sz w:val="28"/>
          <w:szCs w:val="28"/>
        </w:rPr>
      </w:pPr>
      <w:r>
        <w:rPr>
          <w:rFonts w:hint="eastAsia" w:ascii="楷体_GB2312" w:hAnsi="Times New Roman" w:eastAsia="楷体_GB2312" w:cs="Times New Roman"/>
          <w:b/>
          <w:bCs/>
          <w:color w:val="000000"/>
          <w:kern w:val="0"/>
          <w:sz w:val="28"/>
          <w:szCs w:val="28"/>
        </w:rPr>
        <w:t>人造草面层成品</w:t>
      </w:r>
    </w:p>
    <w:tbl>
      <w:tblPr>
        <w:tblStyle w:val="22"/>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29"/>
        <w:gridCol w:w="2056"/>
        <w:gridCol w:w="991"/>
        <w:gridCol w:w="247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01"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序号</w:t>
            </w:r>
          </w:p>
        </w:tc>
        <w:tc>
          <w:tcPr>
            <w:tcW w:w="2129"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检验项目</w:t>
            </w:r>
          </w:p>
        </w:tc>
        <w:tc>
          <w:tcPr>
            <w:tcW w:w="2056"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依据法律法规</w:t>
            </w:r>
          </w:p>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或标准条款</w:t>
            </w:r>
          </w:p>
        </w:tc>
        <w:tc>
          <w:tcPr>
            <w:tcW w:w="991"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项目性质</w:t>
            </w:r>
          </w:p>
        </w:tc>
        <w:tc>
          <w:tcPr>
            <w:tcW w:w="2475"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检测</w:t>
            </w:r>
            <w:r>
              <w:rPr>
                <w:rFonts w:hint="eastAsia" w:ascii="黑体" w:hAnsi="黑体" w:eastAsia="黑体"/>
                <w:color w:val="000000"/>
                <w:sz w:val="24"/>
              </w:rPr>
              <w:t>方法</w:t>
            </w:r>
          </w:p>
        </w:tc>
        <w:tc>
          <w:tcPr>
            <w:tcW w:w="822"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p>
        </w:tc>
        <w:tc>
          <w:tcPr>
            <w:tcW w:w="2129"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冲击吸收</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w:t>
            </w:r>
          </w:p>
        </w:tc>
        <w:tc>
          <w:tcPr>
            <w:tcW w:w="2129"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垂直变形</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3</w:t>
            </w:r>
          </w:p>
        </w:tc>
        <w:tc>
          <w:tcPr>
            <w:tcW w:w="2129"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草丝拉断力</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4</w:t>
            </w:r>
          </w:p>
        </w:tc>
        <w:tc>
          <w:tcPr>
            <w:tcW w:w="2129"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单簇</w:t>
            </w:r>
            <w:r>
              <w:rPr>
                <w:rFonts w:ascii="仿宋_GB2312" w:eastAsia="仿宋_GB2312"/>
                <w:color w:val="000000"/>
                <w:szCs w:val="21"/>
              </w:rPr>
              <w:t>草丝拔出力</w:t>
            </w:r>
          </w:p>
        </w:tc>
        <w:tc>
          <w:tcPr>
            <w:tcW w:w="2056" w:type="dxa"/>
            <w:vAlign w:val="center"/>
          </w:tcPr>
          <w:p>
            <w:pPr>
              <w:autoSpaceDE w:val="0"/>
              <w:autoSpaceDN w:val="0"/>
              <w:adjustRightInd w:val="0"/>
              <w:jc w:val="center"/>
              <w:rPr>
                <w:rFonts w:ascii="仿宋_GB2312" w:eastAsia="仿宋_GB2312"/>
                <w:color w:val="000000"/>
                <w:szCs w:val="21"/>
              </w:rPr>
            </w:pPr>
            <w:r>
              <w:rPr>
                <w:rFonts w:ascii="仿宋_GB2312" w:eastAsia="仿宋_GB2312"/>
                <w:color w:val="000000"/>
                <w:szCs w:val="21"/>
              </w:rPr>
              <w:t>GB 36246-2018</w:t>
            </w:r>
          </w:p>
        </w:tc>
        <w:tc>
          <w:tcPr>
            <w:tcW w:w="991"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强制性</w:t>
            </w:r>
          </w:p>
        </w:tc>
        <w:tc>
          <w:tcPr>
            <w:tcW w:w="2475" w:type="dxa"/>
            <w:vAlign w:val="center"/>
          </w:tcPr>
          <w:p>
            <w:pPr>
              <w:autoSpaceDE w:val="0"/>
              <w:autoSpaceDN w:val="0"/>
              <w:adjustRightInd w:val="0"/>
              <w:jc w:val="center"/>
              <w:rPr>
                <w:rFonts w:ascii="仿宋_GB2312" w:eastAsia="仿宋_GB2312"/>
                <w:color w:val="000000"/>
                <w:szCs w:val="21"/>
              </w:rPr>
            </w:pPr>
            <w:r>
              <w:rPr>
                <w:rFonts w:hint="eastAsia" w:ascii="仿宋_GB2312" w:eastAsia="仿宋_GB2312"/>
                <w:color w:val="000000"/>
                <w:szCs w:val="21"/>
              </w:rPr>
              <w:t>QB/T 1090-2001</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5</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3种邻苯二甲酸酯类化合物（DBP、BBP、DEHP）总和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6</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3种邻苯二甲酸酯类化合物（DNOP、DINP、DIDP）总和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7</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18种多环芳烃总和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8</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苯并[a]芘</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9</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可溶性铅</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0</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可溶性镉</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1</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可溶性铬</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r>
              <w:rPr>
                <w:rFonts w:ascii="仿宋_GB2312" w:hAnsi="宋体" w:eastAsia="仿宋_GB2312" w:cs="Times New Roman"/>
                <w:color w:val="000000"/>
                <w:szCs w:val="24"/>
              </w:rPr>
              <w:t>2</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可溶性汞</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13</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总挥发性有机化合物（TVOC）</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14</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甲醛</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15</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苯</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16</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甲苯、二甲苯和乙苯总和</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bl>
    <w:p>
      <w:pPr>
        <w:widowControl/>
        <w:adjustRightInd w:val="0"/>
        <w:snapToGrid w:val="0"/>
        <w:spacing w:line="640" w:lineRule="exact"/>
        <w:ind w:firstLine="562" w:firstLineChars="200"/>
        <w:rPr>
          <w:rFonts w:ascii="楷体_GB2312" w:hAnsi="Times New Roman" w:eastAsia="楷体_GB2312" w:cs="Times New Roman"/>
          <w:b/>
          <w:bCs/>
          <w:color w:val="000000"/>
          <w:kern w:val="0"/>
          <w:sz w:val="28"/>
          <w:szCs w:val="28"/>
        </w:rPr>
      </w:pPr>
      <w:r>
        <w:rPr>
          <w:rFonts w:hint="eastAsia" w:ascii="楷体_GB2312" w:hAnsi="Times New Roman" w:eastAsia="楷体_GB2312" w:cs="Times New Roman"/>
          <w:b/>
          <w:bCs/>
          <w:color w:val="000000"/>
          <w:kern w:val="0"/>
          <w:sz w:val="28"/>
          <w:szCs w:val="28"/>
        </w:rPr>
        <w:t>人造草面层填充用合成材料颗粒</w:t>
      </w:r>
    </w:p>
    <w:tbl>
      <w:tblPr>
        <w:tblStyle w:val="22"/>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29"/>
        <w:gridCol w:w="2056"/>
        <w:gridCol w:w="991"/>
        <w:gridCol w:w="247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01"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序号</w:t>
            </w:r>
          </w:p>
        </w:tc>
        <w:tc>
          <w:tcPr>
            <w:tcW w:w="2129"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检验项目</w:t>
            </w:r>
          </w:p>
        </w:tc>
        <w:tc>
          <w:tcPr>
            <w:tcW w:w="2056"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依据法律法规</w:t>
            </w:r>
          </w:p>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或标准条款</w:t>
            </w:r>
          </w:p>
        </w:tc>
        <w:tc>
          <w:tcPr>
            <w:tcW w:w="991" w:type="dxa"/>
            <w:vAlign w:val="center"/>
          </w:tcPr>
          <w:p>
            <w:pPr>
              <w:pStyle w:val="5"/>
              <w:snapToGrid w:val="0"/>
              <w:spacing w:line="240" w:lineRule="exact"/>
              <w:jc w:val="center"/>
              <w:rPr>
                <w:rFonts w:ascii="黑体" w:hAnsi="黑体" w:eastAsia="黑体"/>
                <w:color w:val="000000"/>
                <w:sz w:val="24"/>
              </w:rPr>
            </w:pPr>
            <w:r>
              <w:rPr>
                <w:rFonts w:hint="eastAsia" w:ascii="黑体" w:hAnsi="黑体" w:eastAsia="黑体"/>
                <w:color w:val="000000"/>
                <w:sz w:val="24"/>
              </w:rPr>
              <w:t>项目性质</w:t>
            </w:r>
          </w:p>
        </w:tc>
        <w:tc>
          <w:tcPr>
            <w:tcW w:w="2475"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检测</w:t>
            </w:r>
            <w:r>
              <w:rPr>
                <w:rFonts w:hint="eastAsia" w:ascii="黑体" w:hAnsi="黑体" w:eastAsia="黑体"/>
                <w:color w:val="000000"/>
                <w:sz w:val="24"/>
              </w:rPr>
              <w:t>方法</w:t>
            </w:r>
          </w:p>
        </w:tc>
        <w:tc>
          <w:tcPr>
            <w:tcW w:w="822" w:type="dxa"/>
            <w:vAlign w:val="center"/>
          </w:tcPr>
          <w:p>
            <w:pPr>
              <w:snapToGrid w:val="0"/>
              <w:spacing w:line="280" w:lineRule="exact"/>
              <w:jc w:val="center"/>
              <w:rPr>
                <w:rFonts w:ascii="黑体" w:hAnsi="黑体" w:eastAsia="黑体"/>
                <w:color w:val="000000"/>
                <w:sz w:val="24"/>
                <w:szCs w:val="21"/>
              </w:rPr>
            </w:pPr>
            <w:r>
              <w:rPr>
                <w:rFonts w:hint="eastAsia" w:ascii="黑体" w:hAnsi="黑体" w:eastAsia="黑体"/>
                <w:color w:val="000000"/>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1</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18种多环芳烃总和</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2</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苯并[a]芘</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3</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可溶性铅</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4</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可溶性镉</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5</w:t>
            </w:r>
          </w:p>
        </w:tc>
        <w:tc>
          <w:tcPr>
            <w:tcW w:w="2129"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可溶性铬</w:t>
            </w:r>
          </w:p>
        </w:tc>
        <w:tc>
          <w:tcPr>
            <w:tcW w:w="2056"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6</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可溶性汞</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23991-2009</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7</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气味等级</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Cs w:val="24"/>
              </w:rPr>
            </w:pPr>
            <w:r>
              <w:rPr>
                <w:rFonts w:hint="eastAsia" w:ascii="仿宋_GB2312" w:hAnsi="宋体" w:eastAsia="仿宋_GB2312" w:cs="Times New Roman"/>
                <w:color w:val="000000"/>
                <w:szCs w:val="24"/>
              </w:rPr>
              <w:t>8</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eastAsia="仿宋_GB2312"/>
                <w:color w:val="000000"/>
                <w:szCs w:val="21"/>
              </w:rPr>
              <w:t>高聚物总量</w:t>
            </w:r>
          </w:p>
        </w:tc>
        <w:tc>
          <w:tcPr>
            <w:tcW w:w="2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 36246-2018</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仿宋" w:eastAsia="仿宋_GB2312"/>
                <w:bCs/>
                <w:color w:val="000000"/>
                <w:szCs w:val="21"/>
              </w:rPr>
              <w:t>强制性</w:t>
            </w:r>
          </w:p>
        </w:tc>
        <w:tc>
          <w:tcPr>
            <w:tcW w:w="24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ascii="仿宋_GB2312" w:hAnsi="仿宋" w:eastAsia="仿宋_GB2312"/>
                <w:bCs/>
                <w:color w:val="000000"/>
                <w:szCs w:val="21"/>
              </w:rPr>
              <w:t>GB/T 14837.1-2014</w:t>
            </w:r>
            <w:r>
              <w:rPr>
                <w:rFonts w:hint="eastAsia" w:ascii="仿宋_GB2312" w:hAnsi="仿宋" w:eastAsia="仿宋_GB2312"/>
                <w:bCs/>
                <w:color w:val="000000"/>
                <w:szCs w:val="21"/>
              </w:rPr>
              <w:t>、</w:t>
            </w:r>
            <w:r>
              <w:rPr>
                <w:rFonts w:ascii="仿宋_GB2312" w:hAnsi="仿宋" w:eastAsia="仿宋_GB2312"/>
                <w:bCs/>
                <w:color w:val="000000"/>
                <w:szCs w:val="21"/>
              </w:rPr>
              <w:t>GB/T 14837.2-2014</w:t>
            </w:r>
          </w:p>
        </w:tc>
        <w:tc>
          <w:tcPr>
            <w:tcW w:w="8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备样</w:t>
            </w:r>
          </w:p>
        </w:tc>
      </w:tr>
    </w:tbl>
    <w:p>
      <w:pPr>
        <w:snapToGrid w:val="0"/>
        <w:spacing w:line="360" w:lineRule="auto"/>
        <w:rPr>
          <w:rFonts w:ascii="仿宋_GB2312" w:hAnsi="宋体" w:eastAsia="仿宋_GB2312" w:cs="Times New Roman"/>
          <w:b/>
          <w:color w:val="000000"/>
          <w:sz w:val="28"/>
          <w:szCs w:val="28"/>
        </w:rPr>
      </w:pPr>
      <w:r>
        <w:rPr>
          <w:rFonts w:hint="eastAsia" w:ascii="仿宋_GB2312" w:hAnsi="Calibri" w:eastAsia="仿宋_GB2312" w:cs="Sim Sun"/>
          <w:b/>
          <w:color w:val="000000"/>
          <w:kern w:val="0"/>
          <w:sz w:val="28"/>
          <w:szCs w:val="28"/>
        </w:rPr>
        <w:t>6.</w:t>
      </w:r>
      <w:r>
        <w:rPr>
          <w:rFonts w:ascii="仿宋_GB2312" w:hAnsi="Calibri" w:eastAsia="仿宋_GB2312" w:cs="Sim Sun"/>
          <w:b/>
          <w:color w:val="000000"/>
          <w:kern w:val="0"/>
          <w:sz w:val="28"/>
          <w:szCs w:val="28"/>
        </w:rPr>
        <w:t>2</w:t>
      </w:r>
      <w:r>
        <w:rPr>
          <w:rFonts w:hint="eastAsia" w:ascii="仿宋_GB2312" w:hAnsi="Calibri" w:eastAsia="仿宋_GB2312" w:cs="Sim Sun"/>
          <w:b/>
          <w:color w:val="000000"/>
          <w:kern w:val="0"/>
          <w:sz w:val="28"/>
          <w:szCs w:val="28"/>
        </w:rPr>
        <w:t xml:space="preserve"> 检验应注意的问题</w:t>
      </w:r>
    </w:p>
    <w:p>
      <w:pPr>
        <w:snapToGrid w:val="0"/>
        <w:spacing w:line="360" w:lineRule="auto"/>
        <w:rPr>
          <w:rFonts w:ascii="仿宋_GB2312" w:hAnsi="宋体" w:eastAsia="仿宋_GB2312" w:cs="Times New Roman"/>
          <w:iCs/>
          <w:color w:val="000000"/>
          <w:sz w:val="28"/>
          <w:szCs w:val="28"/>
        </w:rPr>
      </w:pPr>
      <w:r>
        <w:rPr>
          <w:rFonts w:hint="eastAsia" w:ascii="仿宋_GB2312" w:hAnsi="Calibri" w:eastAsia="仿宋_GB2312" w:cs="Sim Sun"/>
          <w:b/>
          <w:color w:val="000000"/>
          <w:kern w:val="0"/>
          <w:sz w:val="28"/>
          <w:szCs w:val="28"/>
        </w:rPr>
        <w:t>6.</w:t>
      </w:r>
      <w:r>
        <w:rPr>
          <w:rFonts w:ascii="仿宋_GB2312" w:hAnsi="Calibri" w:eastAsia="仿宋_GB2312" w:cs="Sim Sun"/>
          <w:b/>
          <w:color w:val="000000"/>
          <w:kern w:val="0"/>
          <w:sz w:val="28"/>
          <w:szCs w:val="28"/>
        </w:rPr>
        <w:t>2</w:t>
      </w:r>
      <w:r>
        <w:rPr>
          <w:rFonts w:hint="eastAsia" w:ascii="仿宋_GB2312" w:hAnsi="Calibri" w:eastAsia="仿宋_GB2312" w:cs="Sim Sun"/>
          <w:b/>
          <w:color w:val="000000"/>
          <w:kern w:val="0"/>
          <w:sz w:val="28"/>
          <w:szCs w:val="28"/>
        </w:rPr>
        <w:t>.1</w:t>
      </w:r>
      <w:r>
        <w:rPr>
          <w:rFonts w:hint="eastAsia" w:ascii="仿宋_GB2312" w:hAnsi="Calibri"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sz w:val="28"/>
          <w:szCs w:val="28"/>
        </w:rPr>
        <w:t>备用</w:t>
      </w:r>
      <w:r>
        <w:rPr>
          <w:rFonts w:hint="eastAsia" w:ascii="仿宋_GB2312" w:hAnsi="宋体" w:eastAsia="仿宋_GB2312" w:cs="Times New Roman"/>
          <w:iCs/>
          <w:color w:val="000000"/>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6.2.2</w:t>
      </w:r>
      <w:r>
        <w:rPr>
          <w:rFonts w:hint="eastAsia" w:ascii="仿宋_GB2312" w:eastAsia="仿宋_GB2312" w:cs="Sim Sun"/>
          <w:color w:val="000000"/>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6.2.3</w:t>
      </w:r>
      <w:r>
        <w:rPr>
          <w:rFonts w:hint="eastAsia" w:ascii="仿宋_GB2312" w:eastAsia="仿宋_GB2312" w:cs="Sim Sun"/>
          <w:color w:val="000000"/>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000000"/>
          <w:kern w:val="0"/>
          <w:sz w:val="28"/>
          <w:szCs w:val="28"/>
        </w:rPr>
      </w:pPr>
      <w:r>
        <w:rPr>
          <w:rFonts w:hint="eastAsia" w:ascii="仿宋_GB2312" w:hAnsi="Calibri" w:eastAsia="仿宋_GB2312" w:cs="Sim Sun"/>
          <w:b/>
          <w:color w:val="000000"/>
          <w:kern w:val="0"/>
          <w:sz w:val="28"/>
          <w:szCs w:val="28"/>
        </w:rPr>
        <w:t>7 判定原则</w:t>
      </w:r>
    </w:p>
    <w:p>
      <w:pPr>
        <w:snapToGrid w:val="0"/>
        <w:spacing w:line="360" w:lineRule="auto"/>
        <w:ind w:firstLine="560" w:firstLineChars="200"/>
        <w:rPr>
          <w:rFonts w:ascii="仿宋_GB2312" w:hAnsi="Times New Roman" w:eastAsia="仿宋_GB2312" w:cs="Sim Sun"/>
          <w:color w:val="000000"/>
          <w:kern w:val="0"/>
          <w:sz w:val="28"/>
          <w:szCs w:val="28"/>
        </w:rPr>
      </w:pPr>
      <w:r>
        <w:rPr>
          <w:rFonts w:hint="eastAsia" w:ascii="仿宋_GB2312" w:eastAsia="仿宋_GB2312" w:cs="Sim Sun"/>
          <w:color w:val="000000"/>
          <w:kern w:val="0"/>
          <w:sz w:val="28"/>
          <w:szCs w:val="28"/>
        </w:rPr>
        <w:t>经检验，所检样品全部项目合格，判该产品本次监督抽查结果合格；出现一项或一项以上</w:t>
      </w:r>
      <w:r>
        <w:rPr>
          <w:rFonts w:hint="eastAsia" w:ascii="仿宋_GB2312" w:hAnsi="宋体" w:eastAsia="仿宋_GB2312"/>
          <w:color w:val="000000"/>
          <w:sz w:val="28"/>
          <w:szCs w:val="28"/>
        </w:rPr>
        <w:t>项目</w:t>
      </w:r>
      <w:r>
        <w:rPr>
          <w:rFonts w:hint="eastAsia" w:ascii="仿宋_GB2312" w:eastAsia="仿宋_GB2312" w:cs="Sim Sun"/>
          <w:color w:val="000000"/>
          <w:kern w:val="0"/>
          <w:sz w:val="28"/>
          <w:szCs w:val="28"/>
        </w:rPr>
        <w:t>不合格，判该产品本次监督检验结果不合格。</w:t>
      </w:r>
    </w:p>
    <w:p>
      <w:pPr>
        <w:snapToGrid w:val="0"/>
        <w:spacing w:line="360" w:lineRule="auto"/>
        <w:rPr>
          <w:rFonts w:ascii="仿宋_GB2312" w:hAnsi="Calibri" w:eastAsia="仿宋_GB2312" w:cs="Sim Sun"/>
          <w:b/>
          <w:color w:val="000000"/>
          <w:kern w:val="0"/>
          <w:sz w:val="28"/>
          <w:szCs w:val="28"/>
        </w:rPr>
      </w:pPr>
      <w:r>
        <w:rPr>
          <w:rFonts w:hint="eastAsia" w:ascii="仿宋_GB2312" w:hAnsi="Calibri" w:eastAsia="仿宋_GB2312" w:cs="Sim Sun"/>
          <w:b/>
          <w:color w:val="000000"/>
          <w:kern w:val="0"/>
          <w:sz w:val="28"/>
          <w:szCs w:val="28"/>
        </w:rPr>
        <w:t>8 异议处理复检</w:t>
      </w:r>
    </w:p>
    <w:p>
      <w:pPr>
        <w:snapToGrid w:val="0"/>
        <w:spacing w:line="360" w:lineRule="auto"/>
        <w:rPr>
          <w:rFonts w:ascii="仿宋_GB2312" w:eastAsia="仿宋_GB2312" w:cs="Sim Sun"/>
          <w:iCs/>
          <w:color w:val="000000"/>
          <w:kern w:val="0"/>
          <w:sz w:val="28"/>
          <w:szCs w:val="28"/>
        </w:rPr>
      </w:pPr>
      <w:r>
        <w:rPr>
          <w:rFonts w:ascii="仿宋_GB2312" w:eastAsia="仿宋_GB2312" w:cs="Sim Sun"/>
          <w:b/>
          <w:iCs/>
          <w:color w:val="000000"/>
          <w:kern w:val="0"/>
          <w:sz w:val="28"/>
          <w:szCs w:val="28"/>
        </w:rPr>
        <w:t>8</w:t>
      </w:r>
      <w:r>
        <w:rPr>
          <w:rFonts w:hint="eastAsia" w:ascii="仿宋_GB2312" w:eastAsia="仿宋_GB2312" w:cs="Sim Sun"/>
          <w:b/>
          <w:iCs/>
          <w:color w:val="000000"/>
          <w:kern w:val="0"/>
          <w:sz w:val="28"/>
          <w:szCs w:val="28"/>
        </w:rPr>
        <w:t>.1</w:t>
      </w:r>
      <w:r>
        <w:rPr>
          <w:rFonts w:hint="eastAsia" w:ascii="仿宋_GB2312" w:eastAsia="仿宋_GB2312" w:cs="Sim Sun"/>
          <w:iCs/>
          <w:color w:val="000000"/>
          <w:kern w:val="0"/>
          <w:sz w:val="28"/>
          <w:szCs w:val="28"/>
        </w:rPr>
        <w:t>被抽查企业在收到检验结果，对结果有异议时，</w:t>
      </w:r>
      <w:r>
        <w:rPr>
          <w:rFonts w:ascii="仿宋_GB2312" w:eastAsia="仿宋_GB2312" w:cs="Sim Sun"/>
          <w:iCs/>
          <w:color w:val="000000"/>
          <w:kern w:val="0"/>
          <w:sz w:val="28"/>
          <w:szCs w:val="28"/>
        </w:rPr>
        <w:t>可以自收到检验结果之日起15日内向</w:t>
      </w:r>
      <w:r>
        <w:rPr>
          <w:rFonts w:hint="eastAsia" w:ascii="仿宋_GB2312" w:eastAsia="仿宋_GB2312" w:cs="Sim Sun"/>
          <w:iCs/>
          <w:color w:val="000000"/>
          <w:kern w:val="0"/>
          <w:sz w:val="28"/>
          <w:szCs w:val="28"/>
        </w:rPr>
        <w:t>深圳市市场监督管理局</w:t>
      </w:r>
      <w:r>
        <w:rPr>
          <w:rFonts w:ascii="仿宋_GB2312" w:eastAsia="仿宋_GB2312" w:cs="Sim Sun"/>
          <w:iCs/>
          <w:color w:val="000000"/>
          <w:kern w:val="0"/>
          <w:sz w:val="28"/>
          <w:szCs w:val="28"/>
        </w:rPr>
        <w:t>提出书面复检申请。逾期未提出异议的，视为承认检验结果。</w:t>
      </w:r>
    </w:p>
    <w:p>
      <w:pPr>
        <w:snapToGrid w:val="0"/>
        <w:spacing w:line="360" w:lineRule="auto"/>
        <w:rPr>
          <w:rFonts w:ascii="仿宋_GB2312" w:eastAsia="仿宋_GB2312" w:cs="Sim Sun"/>
          <w:iCs/>
          <w:color w:val="000000"/>
          <w:kern w:val="0"/>
          <w:sz w:val="28"/>
          <w:szCs w:val="28"/>
        </w:rPr>
      </w:pPr>
      <w:r>
        <w:rPr>
          <w:rFonts w:ascii="仿宋_GB2312" w:eastAsia="仿宋_GB2312" w:cs="Sim Sun"/>
          <w:b/>
          <w:iCs/>
          <w:color w:val="000000"/>
          <w:kern w:val="0"/>
          <w:sz w:val="28"/>
          <w:szCs w:val="28"/>
        </w:rPr>
        <w:t>8</w:t>
      </w:r>
      <w:r>
        <w:rPr>
          <w:rFonts w:hint="eastAsia" w:ascii="仿宋_GB2312" w:eastAsia="仿宋_GB2312" w:cs="Sim Sun"/>
          <w:b/>
          <w:iCs/>
          <w:color w:val="000000"/>
          <w:kern w:val="0"/>
          <w:sz w:val="28"/>
          <w:szCs w:val="28"/>
        </w:rPr>
        <w:t>.2</w:t>
      </w:r>
      <w:r>
        <w:rPr>
          <w:rFonts w:ascii="仿宋_GB2312" w:eastAsia="仿宋_GB2312" w:cs="Sim Sun"/>
          <w:iCs/>
          <w:color w:val="000000"/>
          <w:kern w:val="0"/>
          <w:sz w:val="28"/>
          <w:szCs w:val="28"/>
        </w:rPr>
        <w:t>检验机构</w:t>
      </w:r>
      <w:r>
        <w:rPr>
          <w:rFonts w:hint="eastAsia" w:ascii="仿宋_GB2312" w:eastAsia="仿宋_GB2312" w:cs="Sim Sun"/>
          <w:iCs/>
          <w:color w:val="000000"/>
          <w:kern w:val="0"/>
          <w:sz w:val="28"/>
          <w:szCs w:val="28"/>
        </w:rPr>
        <w:t>接到深圳市市场监督管理局的复检通知后</w:t>
      </w:r>
      <w:r>
        <w:rPr>
          <w:rFonts w:ascii="仿宋_GB2312" w:eastAsia="仿宋_GB2312" w:cs="Sim Sun"/>
          <w:iCs/>
          <w:color w:val="000000"/>
          <w:kern w:val="0"/>
          <w:sz w:val="28"/>
          <w:szCs w:val="28"/>
        </w:rPr>
        <w:t>应当按原监督抽查方案</w:t>
      </w:r>
      <w:r>
        <w:rPr>
          <w:rFonts w:hint="eastAsia" w:ascii="仿宋_GB2312" w:eastAsia="仿宋_GB2312" w:cs="Sim Sun"/>
          <w:iCs/>
          <w:color w:val="000000"/>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kern w:val="0"/>
          <w:sz w:val="28"/>
          <w:szCs w:val="28"/>
        </w:rPr>
        <w:t>的结论。</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8.</w:t>
      </w:r>
      <w:r>
        <w:rPr>
          <w:rFonts w:ascii="仿宋_GB2312" w:eastAsia="仿宋_GB2312" w:cs="Sim Sun"/>
          <w:b/>
          <w:color w:val="000000"/>
          <w:kern w:val="0"/>
          <w:sz w:val="28"/>
          <w:szCs w:val="28"/>
        </w:rPr>
        <w:t>3</w:t>
      </w:r>
      <w:r>
        <w:rPr>
          <w:rFonts w:hint="eastAsia" w:ascii="仿宋_GB2312" w:eastAsia="仿宋_GB2312" w:cs="Sim Sun"/>
          <w:iCs/>
          <w:color w:val="000000"/>
          <w:kern w:val="0"/>
          <w:sz w:val="28"/>
          <w:szCs w:val="28"/>
        </w:rPr>
        <w:t>复验</w:t>
      </w:r>
      <w:r>
        <w:rPr>
          <w:rFonts w:ascii="仿宋_GB2312" w:eastAsia="仿宋_GB2312" w:cs="Sim Sun"/>
          <w:iCs/>
          <w:color w:val="000000"/>
          <w:kern w:val="0"/>
          <w:sz w:val="28"/>
          <w:szCs w:val="28"/>
        </w:rPr>
        <w:t>检验人员与初检检验人员不得为同一人。</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8.4</w:t>
      </w:r>
      <w:r>
        <w:rPr>
          <w:rFonts w:hint="eastAsia" w:ascii="仿宋_GB2312" w:eastAsia="仿宋_GB2312" w:cs="Sim Sun"/>
          <w:color w:val="000000"/>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color w:val="000000"/>
          <w:kern w:val="0"/>
          <w:sz w:val="28"/>
          <w:szCs w:val="28"/>
        </w:rPr>
      </w:pPr>
      <w:r>
        <w:rPr>
          <w:rFonts w:hint="eastAsia" w:ascii="仿宋_GB2312" w:eastAsia="仿宋_GB2312" w:cs="Sim Sun"/>
          <w:b/>
          <w:iCs/>
          <w:color w:val="000000"/>
          <w:kern w:val="0"/>
          <w:sz w:val="28"/>
          <w:szCs w:val="28"/>
        </w:rPr>
        <w:t>8.5</w:t>
      </w:r>
      <w:r>
        <w:rPr>
          <w:rFonts w:hint="eastAsia" w:ascii="仿宋_GB2312" w:eastAsia="仿宋_GB2312" w:cs="Sim Sun"/>
          <w:iCs/>
          <w:color w:val="000000"/>
          <w:kern w:val="0"/>
          <w:sz w:val="28"/>
          <w:szCs w:val="28"/>
        </w:rPr>
        <w:t>深圳市市场监督管理局根据初检</w:t>
      </w:r>
      <w:r>
        <w:rPr>
          <w:rFonts w:ascii="仿宋_GB2312" w:eastAsia="仿宋_GB2312" w:cs="Sim Sun"/>
          <w:iCs/>
          <w:color w:val="000000"/>
          <w:kern w:val="0"/>
          <w:sz w:val="28"/>
          <w:szCs w:val="28"/>
        </w:rPr>
        <w:t>、复</w:t>
      </w:r>
      <w:r>
        <w:rPr>
          <w:rFonts w:hint="eastAsia" w:ascii="仿宋_GB2312" w:eastAsia="仿宋_GB2312" w:cs="Sim Sun"/>
          <w:iCs/>
          <w:color w:val="000000"/>
          <w:kern w:val="0"/>
          <w:sz w:val="28"/>
          <w:szCs w:val="28"/>
        </w:rPr>
        <w:t>验</w:t>
      </w:r>
      <w:r>
        <w:rPr>
          <w:rFonts w:ascii="仿宋_GB2312" w:eastAsia="仿宋_GB2312" w:cs="Sim Sun"/>
          <w:iCs/>
          <w:color w:val="000000"/>
          <w:kern w:val="0"/>
          <w:sz w:val="28"/>
          <w:szCs w:val="28"/>
        </w:rPr>
        <w:t>结果及企业提交的</w:t>
      </w:r>
      <w:r>
        <w:rPr>
          <w:rFonts w:hint="eastAsia" w:ascii="仿宋_GB2312" w:eastAsia="仿宋_GB2312" w:cs="Sim Sun"/>
          <w:iCs/>
          <w:color w:val="000000"/>
          <w:kern w:val="0"/>
          <w:sz w:val="28"/>
          <w:szCs w:val="28"/>
        </w:rPr>
        <w:t>证明</w:t>
      </w:r>
      <w:r>
        <w:rPr>
          <w:rFonts w:ascii="仿宋_GB2312" w:eastAsia="仿宋_GB2312" w:cs="Sim Sun"/>
          <w:iCs/>
          <w:color w:val="000000"/>
          <w:kern w:val="0"/>
          <w:sz w:val="28"/>
          <w:szCs w:val="28"/>
        </w:rPr>
        <w:t>材料，做出复检结论</w:t>
      </w:r>
      <w:r>
        <w:rPr>
          <w:rFonts w:hint="eastAsia" w:ascii="仿宋_GB2312" w:eastAsia="仿宋_GB2312" w:cs="Sim Sun"/>
          <w:iCs/>
          <w:color w:val="000000"/>
          <w:kern w:val="0"/>
          <w:sz w:val="28"/>
          <w:szCs w:val="28"/>
        </w:rPr>
        <w:t>，</w:t>
      </w:r>
      <w:r>
        <w:rPr>
          <w:rFonts w:ascii="仿宋_GB2312" w:eastAsia="仿宋_GB2312" w:cs="Sim Sun"/>
          <w:iCs/>
          <w:color w:val="000000"/>
          <w:kern w:val="0"/>
          <w:sz w:val="28"/>
          <w:szCs w:val="28"/>
        </w:rPr>
        <w:t>复检结论为最终结论。</w:t>
      </w:r>
    </w:p>
    <w:p>
      <w:pPr>
        <w:snapToGrid w:val="0"/>
        <w:spacing w:line="360" w:lineRule="auto"/>
        <w:rPr>
          <w:rFonts w:ascii="仿宋_GB2312" w:hAnsi="宋体" w:eastAsia="仿宋_GB2312"/>
          <w:b/>
          <w:color w:val="000000"/>
          <w:sz w:val="28"/>
          <w:szCs w:val="28"/>
        </w:rPr>
      </w:pPr>
      <w:r>
        <w:rPr>
          <w:rFonts w:ascii="仿宋_GB2312" w:hAnsi="宋体" w:eastAsia="仿宋_GB2312"/>
          <w:b/>
          <w:color w:val="000000"/>
          <w:sz w:val="28"/>
          <w:szCs w:val="28"/>
        </w:rPr>
        <w:t>9</w:t>
      </w:r>
      <w:r>
        <w:rPr>
          <w:rFonts w:hint="eastAsia" w:ascii="仿宋_GB2312" w:hAnsi="宋体" w:eastAsia="仿宋_GB2312"/>
          <w:b/>
          <w:color w:val="000000"/>
          <w:sz w:val="28"/>
          <w:szCs w:val="28"/>
        </w:rPr>
        <w:t xml:space="preserve"> 附则</w:t>
      </w:r>
    </w:p>
    <w:p>
      <w:pPr>
        <w:snapToGrid w:val="0"/>
        <w:spacing w:line="360" w:lineRule="auto"/>
        <w:ind w:firstLine="537" w:firstLineChars="192"/>
        <w:rPr>
          <w:rFonts w:ascii="仿宋_GB2312" w:hAnsi="宋体" w:eastAsia="仿宋_GB2312"/>
          <w:color w:val="000000"/>
          <w:sz w:val="28"/>
          <w:szCs w:val="28"/>
        </w:rPr>
      </w:pPr>
      <w:r>
        <w:rPr>
          <w:rFonts w:hint="eastAsia" w:ascii="仿宋_GB2312" w:hAnsi="宋体" w:eastAsia="仿宋_GB2312"/>
          <w:color w:val="000000"/>
          <w:sz w:val="28"/>
          <w:szCs w:val="28"/>
        </w:rPr>
        <w:t>本规范编制单位：</w:t>
      </w:r>
      <w:r>
        <w:rPr>
          <w:rFonts w:hint="eastAsia" w:ascii="仿宋_GB2312" w:eastAsia="仿宋_GB2312"/>
          <w:color w:val="000000"/>
          <w:sz w:val="28"/>
          <w:szCs w:val="28"/>
        </w:rPr>
        <w:t>深圳市计量质量检测研究院</w:t>
      </w:r>
      <w:r>
        <w:rPr>
          <w:rFonts w:hint="eastAsia" w:ascii="仿宋_GB2312" w:hAnsi="宋体" w:eastAsia="仿宋_GB2312"/>
          <w:color w:val="000000"/>
          <w:sz w:val="28"/>
          <w:szCs w:val="28"/>
        </w:rPr>
        <w:t>。</w:t>
      </w:r>
    </w:p>
    <w:p>
      <w:pPr>
        <w:snapToGrid w:val="0"/>
        <w:spacing w:line="360" w:lineRule="auto"/>
        <w:ind w:firstLine="537" w:firstLineChars="192"/>
        <w:rPr>
          <w:rFonts w:ascii="黑体" w:hAnsi="宋体" w:eastAsia="黑体" w:cs="Times New Roman"/>
          <w:color w:val="000000" w:themeColor="text1"/>
          <w:sz w:val="32"/>
          <w:szCs w:val="32"/>
          <w14:textFill>
            <w14:solidFill>
              <w14:schemeClr w14:val="tx1"/>
            </w14:solidFill>
          </w14:textFill>
        </w:rPr>
      </w:pPr>
      <w:r>
        <w:rPr>
          <w:rFonts w:hint="eastAsia" w:ascii="仿宋_GB2312" w:hAnsi="宋体" w:eastAsia="仿宋_GB2312"/>
          <w:color w:val="000000"/>
          <w:sz w:val="28"/>
          <w:szCs w:val="28"/>
        </w:rPr>
        <w:t>本规范由</w:t>
      </w:r>
      <w:r>
        <w:rPr>
          <w:rFonts w:hint="eastAsia" w:ascii="仿宋_GB2312" w:hAnsi="宋体" w:eastAsia="仿宋_GB2312"/>
          <w:iCs/>
          <w:color w:val="000000"/>
          <w:sz w:val="28"/>
          <w:szCs w:val="28"/>
        </w:rPr>
        <w:t>深圳市市场监督管理局质量处</w:t>
      </w:r>
      <w:r>
        <w:rPr>
          <w:rFonts w:hint="eastAsia" w:ascii="仿宋_GB2312" w:hAnsi="宋体" w:eastAsia="仿宋_GB2312"/>
          <w:color w:val="000000"/>
          <w:sz w:val="28"/>
          <w:szCs w:val="28"/>
        </w:rPr>
        <w:t>管理。</w:t>
      </w:r>
      <w:bookmarkStart w:id="0" w:name="_GoBack"/>
      <w:bookmarkEnd w:id="0"/>
    </w:p>
    <w:sectPr>
      <w:footerReference r:id="rId3"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2D"/>
    <w:rsid w:val="00006671"/>
    <w:rsid w:val="000174CA"/>
    <w:rsid w:val="00044858"/>
    <w:rsid w:val="00045AEC"/>
    <w:rsid w:val="00081B9C"/>
    <w:rsid w:val="000A5B37"/>
    <w:rsid w:val="000A5E24"/>
    <w:rsid w:val="000C351E"/>
    <w:rsid w:val="000F3C7C"/>
    <w:rsid w:val="000F3CDB"/>
    <w:rsid w:val="00102F74"/>
    <w:rsid w:val="00125BA8"/>
    <w:rsid w:val="001331CD"/>
    <w:rsid w:val="00135905"/>
    <w:rsid w:val="00153011"/>
    <w:rsid w:val="00156112"/>
    <w:rsid w:val="0016221C"/>
    <w:rsid w:val="00166692"/>
    <w:rsid w:val="001A7241"/>
    <w:rsid w:val="001B07FE"/>
    <w:rsid w:val="001B1B68"/>
    <w:rsid w:val="001D573B"/>
    <w:rsid w:val="00202311"/>
    <w:rsid w:val="00236273"/>
    <w:rsid w:val="002445BF"/>
    <w:rsid w:val="00245EBE"/>
    <w:rsid w:val="00266F51"/>
    <w:rsid w:val="00267E0A"/>
    <w:rsid w:val="0027185D"/>
    <w:rsid w:val="00273055"/>
    <w:rsid w:val="0028178E"/>
    <w:rsid w:val="002C25A5"/>
    <w:rsid w:val="003110CC"/>
    <w:rsid w:val="00327A52"/>
    <w:rsid w:val="00353D26"/>
    <w:rsid w:val="003575D8"/>
    <w:rsid w:val="003578F8"/>
    <w:rsid w:val="003725E7"/>
    <w:rsid w:val="00393289"/>
    <w:rsid w:val="003C7F4D"/>
    <w:rsid w:val="004144CB"/>
    <w:rsid w:val="00440B3B"/>
    <w:rsid w:val="00442803"/>
    <w:rsid w:val="00451A9C"/>
    <w:rsid w:val="00451F77"/>
    <w:rsid w:val="00455F50"/>
    <w:rsid w:val="00457393"/>
    <w:rsid w:val="00463E78"/>
    <w:rsid w:val="004864E2"/>
    <w:rsid w:val="0049380F"/>
    <w:rsid w:val="004A78B9"/>
    <w:rsid w:val="004C1334"/>
    <w:rsid w:val="004D043A"/>
    <w:rsid w:val="004E7D91"/>
    <w:rsid w:val="005047A7"/>
    <w:rsid w:val="0051506A"/>
    <w:rsid w:val="00544B94"/>
    <w:rsid w:val="00545A12"/>
    <w:rsid w:val="00550CE0"/>
    <w:rsid w:val="00565269"/>
    <w:rsid w:val="005B31B5"/>
    <w:rsid w:val="005D4455"/>
    <w:rsid w:val="005D54BD"/>
    <w:rsid w:val="00632884"/>
    <w:rsid w:val="00633F7A"/>
    <w:rsid w:val="006406C9"/>
    <w:rsid w:val="0064613E"/>
    <w:rsid w:val="0064797C"/>
    <w:rsid w:val="006575FA"/>
    <w:rsid w:val="0066561D"/>
    <w:rsid w:val="00676815"/>
    <w:rsid w:val="00683B1B"/>
    <w:rsid w:val="006904B1"/>
    <w:rsid w:val="00694207"/>
    <w:rsid w:val="00695172"/>
    <w:rsid w:val="006C3325"/>
    <w:rsid w:val="00753741"/>
    <w:rsid w:val="00753CE3"/>
    <w:rsid w:val="00757BD9"/>
    <w:rsid w:val="0076203D"/>
    <w:rsid w:val="00770034"/>
    <w:rsid w:val="00776E2E"/>
    <w:rsid w:val="007951D2"/>
    <w:rsid w:val="007B36B7"/>
    <w:rsid w:val="007C0F87"/>
    <w:rsid w:val="007C1A81"/>
    <w:rsid w:val="007E4369"/>
    <w:rsid w:val="007E68AB"/>
    <w:rsid w:val="0080676C"/>
    <w:rsid w:val="00823058"/>
    <w:rsid w:val="00842D30"/>
    <w:rsid w:val="008456BC"/>
    <w:rsid w:val="00845C8F"/>
    <w:rsid w:val="00861EF4"/>
    <w:rsid w:val="00864A08"/>
    <w:rsid w:val="00866E1E"/>
    <w:rsid w:val="0087352D"/>
    <w:rsid w:val="00885F9F"/>
    <w:rsid w:val="00886BC3"/>
    <w:rsid w:val="0089623D"/>
    <w:rsid w:val="008A08E5"/>
    <w:rsid w:val="008D3C2B"/>
    <w:rsid w:val="008F16F0"/>
    <w:rsid w:val="00904E14"/>
    <w:rsid w:val="00910979"/>
    <w:rsid w:val="00917DB8"/>
    <w:rsid w:val="00936CEF"/>
    <w:rsid w:val="00947AF2"/>
    <w:rsid w:val="0097266A"/>
    <w:rsid w:val="009C09F5"/>
    <w:rsid w:val="009C6EB6"/>
    <w:rsid w:val="009F279F"/>
    <w:rsid w:val="00A04793"/>
    <w:rsid w:val="00A13092"/>
    <w:rsid w:val="00A17997"/>
    <w:rsid w:val="00A20441"/>
    <w:rsid w:val="00A23300"/>
    <w:rsid w:val="00A44077"/>
    <w:rsid w:val="00A679C5"/>
    <w:rsid w:val="00A8338B"/>
    <w:rsid w:val="00A93AEE"/>
    <w:rsid w:val="00AA1BF5"/>
    <w:rsid w:val="00AA2557"/>
    <w:rsid w:val="00AB00BE"/>
    <w:rsid w:val="00AC2428"/>
    <w:rsid w:val="00AD41D2"/>
    <w:rsid w:val="00AE6A3C"/>
    <w:rsid w:val="00B14784"/>
    <w:rsid w:val="00B23C96"/>
    <w:rsid w:val="00B3337A"/>
    <w:rsid w:val="00B47E10"/>
    <w:rsid w:val="00B80FC7"/>
    <w:rsid w:val="00B82839"/>
    <w:rsid w:val="00B87936"/>
    <w:rsid w:val="00B96E12"/>
    <w:rsid w:val="00BA0657"/>
    <w:rsid w:val="00BC4F13"/>
    <w:rsid w:val="00BD1965"/>
    <w:rsid w:val="00BE5675"/>
    <w:rsid w:val="00C16673"/>
    <w:rsid w:val="00C5760C"/>
    <w:rsid w:val="00C74C3A"/>
    <w:rsid w:val="00C91CE2"/>
    <w:rsid w:val="00C92613"/>
    <w:rsid w:val="00CF46C3"/>
    <w:rsid w:val="00CF4D8B"/>
    <w:rsid w:val="00D0449B"/>
    <w:rsid w:val="00D121E3"/>
    <w:rsid w:val="00D20777"/>
    <w:rsid w:val="00D32A3E"/>
    <w:rsid w:val="00D43CD3"/>
    <w:rsid w:val="00D54DD1"/>
    <w:rsid w:val="00DC1E0B"/>
    <w:rsid w:val="00DC4635"/>
    <w:rsid w:val="00DD1CDC"/>
    <w:rsid w:val="00DD2244"/>
    <w:rsid w:val="00DE6471"/>
    <w:rsid w:val="00E111A4"/>
    <w:rsid w:val="00E71C01"/>
    <w:rsid w:val="00E766E9"/>
    <w:rsid w:val="00E84505"/>
    <w:rsid w:val="00EB0A44"/>
    <w:rsid w:val="00EB22D7"/>
    <w:rsid w:val="00F03FA6"/>
    <w:rsid w:val="00F07B8C"/>
    <w:rsid w:val="00F118F8"/>
    <w:rsid w:val="00F13C19"/>
    <w:rsid w:val="00F2304A"/>
    <w:rsid w:val="00F2627D"/>
    <w:rsid w:val="00F31E8E"/>
    <w:rsid w:val="00F336D3"/>
    <w:rsid w:val="00F34186"/>
    <w:rsid w:val="00F35B1E"/>
    <w:rsid w:val="00F4112B"/>
    <w:rsid w:val="00F4546E"/>
    <w:rsid w:val="00F560DC"/>
    <w:rsid w:val="00F56B0F"/>
    <w:rsid w:val="00FB67F8"/>
    <w:rsid w:val="00FE73FE"/>
    <w:rsid w:val="00FF04AC"/>
    <w:rsid w:val="00FF5C17"/>
    <w:rsid w:val="07432C00"/>
    <w:rsid w:val="07720EE3"/>
    <w:rsid w:val="07B742E0"/>
    <w:rsid w:val="0B7D43A8"/>
    <w:rsid w:val="0B967703"/>
    <w:rsid w:val="0C7A6513"/>
    <w:rsid w:val="0C7D6641"/>
    <w:rsid w:val="0F600B4A"/>
    <w:rsid w:val="108744A1"/>
    <w:rsid w:val="155B689F"/>
    <w:rsid w:val="189635E0"/>
    <w:rsid w:val="1A2577EA"/>
    <w:rsid w:val="1A8B6D26"/>
    <w:rsid w:val="1B9A3B82"/>
    <w:rsid w:val="1BCF362E"/>
    <w:rsid w:val="1BF7405E"/>
    <w:rsid w:val="1C06119B"/>
    <w:rsid w:val="1E384D21"/>
    <w:rsid w:val="1FCC4EA1"/>
    <w:rsid w:val="2033422E"/>
    <w:rsid w:val="206B6C97"/>
    <w:rsid w:val="23293A16"/>
    <w:rsid w:val="23437FE1"/>
    <w:rsid w:val="26982F13"/>
    <w:rsid w:val="269E0F5B"/>
    <w:rsid w:val="2787702C"/>
    <w:rsid w:val="27BC799A"/>
    <w:rsid w:val="295359CC"/>
    <w:rsid w:val="29E067D3"/>
    <w:rsid w:val="2CC0529B"/>
    <w:rsid w:val="2CF165DE"/>
    <w:rsid w:val="2D931802"/>
    <w:rsid w:val="31CD4F4A"/>
    <w:rsid w:val="355910C7"/>
    <w:rsid w:val="363E2815"/>
    <w:rsid w:val="395023F6"/>
    <w:rsid w:val="39CA6093"/>
    <w:rsid w:val="3B9205F2"/>
    <w:rsid w:val="3D5E4286"/>
    <w:rsid w:val="410F0833"/>
    <w:rsid w:val="41904AB6"/>
    <w:rsid w:val="42200629"/>
    <w:rsid w:val="42862E08"/>
    <w:rsid w:val="431070D2"/>
    <w:rsid w:val="433B62AC"/>
    <w:rsid w:val="4387387A"/>
    <w:rsid w:val="4771266B"/>
    <w:rsid w:val="48415E4A"/>
    <w:rsid w:val="49EC08CE"/>
    <w:rsid w:val="4B407C16"/>
    <w:rsid w:val="4CEE2607"/>
    <w:rsid w:val="4DE66147"/>
    <w:rsid w:val="4E2F7937"/>
    <w:rsid w:val="522B0197"/>
    <w:rsid w:val="536C0F5B"/>
    <w:rsid w:val="55C675CC"/>
    <w:rsid w:val="5779070D"/>
    <w:rsid w:val="5A264220"/>
    <w:rsid w:val="5D421C22"/>
    <w:rsid w:val="621253DE"/>
    <w:rsid w:val="625F3A24"/>
    <w:rsid w:val="6280569B"/>
    <w:rsid w:val="62A53707"/>
    <w:rsid w:val="63E8152C"/>
    <w:rsid w:val="66292E36"/>
    <w:rsid w:val="66DD50D7"/>
    <w:rsid w:val="696B77B8"/>
    <w:rsid w:val="6BBD46B0"/>
    <w:rsid w:val="6FB9632A"/>
    <w:rsid w:val="783F0118"/>
    <w:rsid w:val="788B40E6"/>
    <w:rsid w:val="7AF37CD6"/>
    <w:rsid w:val="7B2D36FF"/>
    <w:rsid w:val="7B2F614A"/>
    <w:rsid w:val="7BFA0901"/>
    <w:rsid w:val="7DC1337A"/>
    <w:rsid w:val="7ECE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38"/>
    <w:unhideWhenUsed/>
    <w:qFormat/>
    <w:uiPriority w:val="99"/>
    <w:rPr>
      <w:rFonts w:asciiTheme="minorHAnsi" w:hAnsiTheme="minorHAnsi" w:eastAsiaTheme="minorEastAsia" w:cstheme="minorBidi"/>
      <w:b/>
      <w:bCs/>
      <w:szCs w:val="22"/>
    </w:rPr>
  </w:style>
  <w:style w:type="paragraph" w:styleId="3">
    <w:name w:val="annotation text"/>
    <w:basedOn w:val="1"/>
    <w:link w:val="33"/>
    <w:qFormat/>
    <w:uiPriority w:val="0"/>
    <w:pPr>
      <w:jc w:val="left"/>
    </w:pPr>
    <w:rPr>
      <w:rFonts w:ascii="Times New Roman" w:hAnsi="Times New Roman" w:eastAsia="宋体" w:cs="Times New Roman"/>
      <w:szCs w:val="24"/>
    </w:rPr>
  </w:style>
  <w:style w:type="paragraph" w:styleId="4">
    <w:name w:val="Body Text Indent"/>
    <w:basedOn w:val="1"/>
    <w:link w:val="27"/>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30"/>
    <w:qFormat/>
    <w:uiPriority w:val="0"/>
    <w:rPr>
      <w:rFonts w:ascii="宋体" w:hAnsi="Courier New" w:eastAsia="宋体" w:cs="Times New Roman"/>
      <w:szCs w:val="21"/>
    </w:rPr>
  </w:style>
  <w:style w:type="paragraph" w:styleId="6">
    <w:name w:val="Date"/>
    <w:basedOn w:val="1"/>
    <w:next w:val="1"/>
    <w:link w:val="39"/>
    <w:unhideWhenUsed/>
    <w:qFormat/>
    <w:uiPriority w:val="99"/>
    <w:pPr>
      <w:ind w:left="100" w:leftChars="2500"/>
    </w:pPr>
  </w:style>
  <w:style w:type="paragraph" w:styleId="7">
    <w:name w:val="Body Text Indent 2"/>
    <w:basedOn w:val="1"/>
    <w:link w:val="31"/>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8"/>
    <w:semiHidden/>
    <w:qFormat/>
    <w:uiPriority w:val="0"/>
    <w:rPr>
      <w:rFonts w:ascii="Times New Roman" w:hAnsi="Times New Roman" w:eastAsia="宋体" w:cs="Times New Roman"/>
      <w:sz w:val="18"/>
      <w:szCs w:val="18"/>
    </w:rPr>
  </w:style>
  <w:style w:type="paragraph" w:styleId="9">
    <w:name w:val="footer"/>
    <w:basedOn w:val="1"/>
    <w:link w:val="2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5"/>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32"/>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Emphasis"/>
    <w:basedOn w:val="13"/>
    <w:qFormat/>
    <w:uiPriority w:val="20"/>
  </w:style>
  <w:style w:type="character" w:styleId="17">
    <w:name w:val="HTML Definition"/>
    <w:basedOn w:val="13"/>
    <w:unhideWhenUsed/>
    <w:uiPriority w:val="99"/>
  </w:style>
  <w:style w:type="character" w:styleId="18">
    <w:name w:val="HTML Variable"/>
    <w:basedOn w:val="13"/>
    <w:unhideWhenUsed/>
    <w:uiPriority w:val="99"/>
  </w:style>
  <w:style w:type="character" w:styleId="19">
    <w:name w:val="HTML Code"/>
    <w:basedOn w:val="13"/>
    <w:unhideWhenUsed/>
    <w:uiPriority w:val="99"/>
    <w:rPr>
      <w:rFonts w:ascii="Courier New" w:hAnsi="Courier New"/>
      <w:sz w:val="20"/>
    </w:rPr>
  </w:style>
  <w:style w:type="character" w:styleId="20">
    <w:name w:val="annotation reference"/>
    <w:basedOn w:val="13"/>
    <w:qFormat/>
    <w:uiPriority w:val="0"/>
    <w:rPr>
      <w:sz w:val="21"/>
      <w:szCs w:val="21"/>
    </w:rPr>
  </w:style>
  <w:style w:type="character" w:styleId="21">
    <w:name w:val="HTML Cite"/>
    <w:basedOn w:val="13"/>
    <w:unhideWhenUsed/>
    <w:uiPriority w:val="99"/>
  </w:style>
  <w:style w:type="table" w:styleId="23">
    <w:name w:val="Table Grid"/>
    <w:basedOn w:val="2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脚 Char"/>
    <w:basedOn w:val="13"/>
    <w:link w:val="9"/>
    <w:qFormat/>
    <w:uiPriority w:val="0"/>
    <w:rPr>
      <w:rFonts w:ascii="Times New Roman" w:hAnsi="Times New Roman" w:eastAsia="宋体" w:cs="Times New Roman"/>
      <w:sz w:val="18"/>
      <w:szCs w:val="18"/>
    </w:rPr>
  </w:style>
  <w:style w:type="character" w:customStyle="1" w:styleId="25">
    <w:name w:val="页眉 Char"/>
    <w:basedOn w:val="13"/>
    <w:link w:val="10"/>
    <w:qFormat/>
    <w:uiPriority w:val="99"/>
    <w:rPr>
      <w:rFonts w:cs="Times New Roman" w:asciiTheme="majorEastAsia" w:hAnsiTheme="majorEastAsia" w:eastAsiaTheme="majorEastAsia"/>
      <w:b/>
      <w:szCs w:val="21"/>
    </w:rPr>
  </w:style>
  <w:style w:type="paragraph" w:customStyle="1" w:styleId="26">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7">
    <w:name w:val="正文文本缩进 Char"/>
    <w:basedOn w:val="13"/>
    <w:link w:val="4"/>
    <w:qFormat/>
    <w:uiPriority w:val="0"/>
    <w:rPr>
      <w:rFonts w:ascii="Times New Roman" w:hAnsi="Times New Roman" w:eastAsia="宋体" w:cs="Times New Roman"/>
      <w:kern w:val="0"/>
      <w:sz w:val="24"/>
      <w:szCs w:val="20"/>
    </w:rPr>
  </w:style>
  <w:style w:type="character" w:customStyle="1" w:styleId="28">
    <w:name w:val="批注框文本 Char"/>
    <w:basedOn w:val="13"/>
    <w:link w:val="8"/>
    <w:semiHidden/>
    <w:qFormat/>
    <w:uiPriority w:val="0"/>
    <w:rPr>
      <w:rFonts w:ascii="Times New Roman" w:hAnsi="Times New Roman" w:eastAsia="宋体" w:cs="Times New Roman"/>
      <w:sz w:val="18"/>
      <w:szCs w:val="18"/>
    </w:rPr>
  </w:style>
  <w:style w:type="paragraph" w:customStyle="1" w:styleId="29">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30">
    <w:name w:val="纯文本 Char"/>
    <w:basedOn w:val="13"/>
    <w:link w:val="5"/>
    <w:qFormat/>
    <w:uiPriority w:val="0"/>
    <w:rPr>
      <w:rFonts w:ascii="宋体" w:hAnsi="Courier New" w:eastAsia="宋体" w:cs="Times New Roman"/>
      <w:szCs w:val="21"/>
    </w:rPr>
  </w:style>
  <w:style w:type="character" w:customStyle="1" w:styleId="31">
    <w:name w:val="正文文本缩进 2 Char"/>
    <w:basedOn w:val="13"/>
    <w:link w:val="7"/>
    <w:qFormat/>
    <w:uiPriority w:val="0"/>
    <w:rPr>
      <w:rFonts w:ascii="Times New Roman" w:hAnsi="Times New Roman" w:eastAsia="宋体" w:cs="Times New Roman"/>
      <w:szCs w:val="24"/>
    </w:rPr>
  </w:style>
  <w:style w:type="character" w:customStyle="1" w:styleId="32">
    <w:name w:val="正文文本缩进 3 Char"/>
    <w:basedOn w:val="13"/>
    <w:link w:val="11"/>
    <w:qFormat/>
    <w:uiPriority w:val="0"/>
    <w:rPr>
      <w:rFonts w:ascii="Times New Roman" w:hAnsi="Times New Roman" w:eastAsia="宋体" w:cs="Times New Roman"/>
      <w:sz w:val="16"/>
      <w:szCs w:val="16"/>
    </w:rPr>
  </w:style>
  <w:style w:type="character" w:customStyle="1" w:styleId="33">
    <w:name w:val="批注文字 Char"/>
    <w:basedOn w:val="13"/>
    <w:link w:val="3"/>
    <w:qFormat/>
    <w:uiPriority w:val="0"/>
    <w:rPr>
      <w:rFonts w:ascii="Times New Roman" w:hAnsi="Times New Roman" w:eastAsia="宋体" w:cs="Times New Roman"/>
      <w:szCs w:val="24"/>
    </w:rPr>
  </w:style>
  <w:style w:type="paragraph" w:customStyle="1" w:styleId="34">
    <w:name w:val="表格"/>
    <w:basedOn w:val="1"/>
    <w:link w:val="35"/>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5">
    <w:name w:val="表格 Char"/>
    <w:link w:val="34"/>
    <w:qFormat/>
    <w:uiPriority w:val="0"/>
    <w:rPr>
      <w:rFonts w:ascii="仿宋_GB2312" w:hAnsi="Times New Roman" w:eastAsia="宋体" w:cs="Times New Roman"/>
      <w:color w:val="000000"/>
      <w:kern w:val="0"/>
      <w:szCs w:val="24"/>
    </w:rPr>
  </w:style>
  <w:style w:type="paragraph" w:customStyle="1" w:styleId="36">
    <w:name w:val="列出段落1"/>
    <w:basedOn w:val="1"/>
    <w:qFormat/>
    <w:uiPriority w:val="34"/>
    <w:pPr>
      <w:ind w:firstLine="420" w:firstLineChars="200"/>
    </w:pPr>
    <w:rPr>
      <w:rFonts w:ascii="Times New Roman" w:hAnsi="Times New Roman" w:eastAsia="宋体" w:cs="Times New Roman"/>
      <w:szCs w:val="24"/>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character" w:customStyle="1" w:styleId="38">
    <w:name w:val="批注主题 Char"/>
    <w:basedOn w:val="33"/>
    <w:link w:val="2"/>
    <w:semiHidden/>
    <w:qFormat/>
    <w:uiPriority w:val="99"/>
    <w:rPr>
      <w:rFonts w:ascii="Times New Roman" w:hAnsi="Times New Roman" w:eastAsia="宋体" w:cs="Times New Roman"/>
      <w:b/>
      <w:bCs/>
      <w:szCs w:val="24"/>
    </w:rPr>
  </w:style>
  <w:style w:type="character" w:customStyle="1" w:styleId="39">
    <w:name w:val="日期 Char"/>
    <w:basedOn w:val="13"/>
    <w:link w:val="6"/>
    <w:semiHidden/>
    <w:qFormat/>
    <w:uiPriority w:val="99"/>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l-tab-strip-text"/>
    <w:basedOn w:val="13"/>
    <w:qFormat/>
    <w:uiPriority w:val="0"/>
    <w:rPr>
      <w:b/>
      <w:color w:val="15428B"/>
    </w:rPr>
  </w:style>
  <w:style w:type="character" w:customStyle="1" w:styleId="42">
    <w:name w:val="l-tab-strip-text1"/>
    <w:basedOn w:val="13"/>
    <w:uiPriority w:val="0"/>
  </w:style>
  <w:style w:type="character" w:customStyle="1" w:styleId="43">
    <w:name w:val="l-tab-strip-text2"/>
    <w:basedOn w:val="13"/>
    <w:qFormat/>
    <w:uiPriority w:val="0"/>
    <w:rPr>
      <w:rFonts w:ascii="Tahoma" w:hAnsi="Tahoma" w:eastAsia="Tahoma" w:cs="Tahoma"/>
      <w:color w:val="416AA3"/>
      <w:sz w:val="18"/>
      <w:szCs w:val="18"/>
    </w:rPr>
  </w:style>
  <w:style w:type="character" w:customStyle="1" w:styleId="44">
    <w:name w:val="l-tab-strip-text3"/>
    <w:basedOn w:val="13"/>
    <w:uiPriority w:val="0"/>
  </w:style>
  <w:style w:type="character" w:customStyle="1" w:styleId="45">
    <w:name w:val="l-tab-strip-text4"/>
    <w:basedOn w:val="13"/>
    <w:uiPriority w:val="0"/>
  </w:style>
  <w:style w:type="character" w:customStyle="1" w:styleId="46">
    <w:name w:val="l-tab-strip-text5"/>
    <w:basedOn w:val="13"/>
    <w:uiPriority w:val="0"/>
    <w:rPr>
      <w:color w:val="15428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6CCE9-07B1-4ECE-9424-76574AF3C7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2021</Words>
  <Characters>11523</Characters>
  <Lines>96</Lines>
  <Paragraphs>27</Paragraphs>
  <ScaleCrop>false</ScaleCrop>
  <LinksUpToDate>false</LinksUpToDate>
  <CharactersWithSpaces>13517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2019-06-15T07:38:00Z</dcterms:created>
  <dc:creator>张嘉欢</dc:creator>
  <cp:lastModifiedBy>常孟园</cp:lastModifiedBy>
  <dcterms:modified xsi:type="dcterms:W3CDTF">2019-08-23T08:07:53Z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