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便携式数字设备用移动电源产品质量监督抽查实施规范</w:t>
      </w:r>
    </w:p>
    <w:p>
      <w:pPr>
        <w:spacing w:beforeLines="75" w:line="300" w:lineRule="exact"/>
        <w:jc w:val="center"/>
        <w:rPr>
          <w:rFonts w:ascii="黑体" w:hAnsi="黑体" w:eastAsia="黑体" w:cs="Times New Roman"/>
          <w:sz w:val="28"/>
          <w:szCs w:val="28"/>
        </w:rPr>
      </w:pPr>
      <w:bookmarkStart w:id="0" w:name="_GoBack"/>
      <w:bookmarkEnd w:id="0"/>
      <w:r>
        <w:rPr>
          <w:rFonts w:hint="eastAsia" w:ascii="黑体" w:hAnsi="黑体" w:eastAsia="黑体" w:cs="Times New Roman"/>
          <w:sz w:val="28"/>
          <w:szCs w:val="28"/>
        </w:rPr>
        <w:t>编号：</w:t>
      </w:r>
      <w:r>
        <w:rPr>
          <w:rFonts w:ascii="黑体" w:hAnsi="黑体" w:eastAsia="黑体" w:cs="Times New Roman"/>
          <w:sz w:val="28"/>
          <w:szCs w:val="28"/>
        </w:rPr>
        <w:t>CCGF-SZ-</w:t>
      </w:r>
      <w:r>
        <w:rPr>
          <w:rFonts w:hint="eastAsia" w:ascii="黑体" w:hAnsi="黑体" w:eastAsia="黑体" w:cs="Times New Roman"/>
          <w:sz w:val="28"/>
          <w:szCs w:val="28"/>
        </w:rPr>
        <w:t>113-2019</w:t>
      </w:r>
    </w:p>
    <w:p>
      <w:pPr>
        <w:snapToGrid w:val="0"/>
        <w:spacing w:line="360" w:lineRule="auto"/>
        <w:rPr>
          <w:rFonts w:ascii="仿宋_GB2312" w:hAnsi="宋体" w:eastAsia="仿宋_GB2312" w:cs="Times New Roman"/>
          <w:b/>
          <w:color w:val="000000" w:themeColor="text1"/>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的便携式数字设备用移动电源产品质量监督抽查。监督抽查产品范围适用于：输入电压不大于250V，输出直流电压不大于60V，单端口输出电流不大于5A，采用有线输出方式，使用锂离子电池及电池组的移动电源产品。</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fldChar w:fldCharType="begin"/>
      </w:r>
      <w:r>
        <w:rPr>
          <w:rFonts w:hint="eastAsia" w:ascii="黑体" w:hAnsi="黑体" w:eastAsia="黑体" w:cs="Times New Roman"/>
          <w:sz w:val="28"/>
          <w:szCs w:val="28"/>
        </w:rPr>
        <w:instrText xml:space="preserve">SEQ 表格 \* ARABIC</w:instrText>
      </w:r>
      <w:r>
        <w:rPr>
          <w:rFonts w:ascii="黑体" w:hAnsi="黑体" w:eastAsia="黑体" w:cs="Times New Roman"/>
          <w:sz w:val="28"/>
          <w:szCs w:val="28"/>
        </w:rPr>
        <w:fldChar w:fldCharType="separate"/>
      </w:r>
      <w:r>
        <w:rPr>
          <w:rFonts w:ascii="黑体" w:hAnsi="黑体" w:eastAsia="黑体" w:cs="Times New Roman"/>
          <w:sz w:val="28"/>
          <w:szCs w:val="28"/>
        </w:rPr>
        <w:t>1</w:t>
      </w:r>
      <w:r>
        <w:rPr>
          <w:rFonts w:ascii="黑体" w:hAnsi="黑体" w:eastAsia="黑体" w:cs="Times New Roman"/>
          <w:sz w:val="28"/>
          <w:szCs w:val="28"/>
        </w:rPr>
        <w:fldChar w:fldCharType="end"/>
      </w:r>
      <w:r>
        <w:rPr>
          <w:rFonts w:hint="eastAsia" w:ascii="黑体" w:hAnsi="黑体" w:eastAsia="黑体" w:cs="Times New Roman"/>
          <w:sz w:val="28"/>
          <w:szCs w:val="28"/>
        </w:rPr>
        <w:t xml:space="preserve"> 产品种类</w:t>
      </w:r>
    </w:p>
    <w:tbl>
      <w:tblPr>
        <w:tblStyle w:val="18"/>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66"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204"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vAlign w:val="center"/>
          </w:tcPr>
          <w:p>
            <w:pPr>
              <w:autoSpaceDE w:val="0"/>
              <w:autoSpaceDN w:val="0"/>
              <w:adjustRightIn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便携式数字设备用移动电源</w:t>
            </w:r>
          </w:p>
        </w:tc>
        <w:tc>
          <w:tcPr>
            <w:tcW w:w="6204" w:type="dxa"/>
            <w:vAlign w:val="center"/>
          </w:tcPr>
          <w:p>
            <w:pPr>
              <w:autoSpaceDE w:val="0"/>
              <w:autoSpaceDN w:val="0"/>
              <w:adjustRightInd w:val="0"/>
              <w:jc w:val="left"/>
              <w:rPr>
                <w:rFonts w:ascii="仿宋_GB2312" w:hAnsi="仿宋" w:eastAsia="仿宋_GB2312" w:cs="Times New Roman"/>
                <w:sz w:val="24"/>
                <w:szCs w:val="24"/>
              </w:rPr>
            </w:pPr>
            <w:r>
              <w:rPr>
                <w:rFonts w:hint="eastAsia" w:ascii="仿宋_GB2312" w:hAnsi="仿宋" w:eastAsia="仿宋_GB2312" w:cs="Times New Roman"/>
                <w:sz w:val="24"/>
                <w:szCs w:val="24"/>
              </w:rPr>
              <w:t>俗称移动电源、充电宝，含交流电源充电式移动电源、直流电源充电式移动电源等</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w:t>
      </w:r>
      <w:r>
        <w:rPr>
          <w:rFonts w:ascii="黑体" w:hAnsi="黑体" w:eastAsia="黑体" w:cs="Times New Roman"/>
          <w:sz w:val="28"/>
          <w:szCs w:val="28"/>
        </w:rPr>
        <w:fldChar w:fldCharType="begin"/>
      </w:r>
      <w:r>
        <w:rPr>
          <w:rFonts w:hint="eastAsia" w:ascii="黑体" w:hAnsi="黑体" w:eastAsia="黑体" w:cs="Times New Roman"/>
          <w:sz w:val="28"/>
          <w:szCs w:val="28"/>
        </w:rPr>
        <w:instrText xml:space="preserve">SEQ 表格 \* ARABIC</w:instrText>
      </w:r>
      <w:r>
        <w:rPr>
          <w:rFonts w:ascii="黑体" w:hAnsi="黑体" w:eastAsia="黑体" w:cs="Times New Roman"/>
          <w:sz w:val="28"/>
          <w:szCs w:val="28"/>
        </w:rPr>
        <w:fldChar w:fldCharType="separate"/>
      </w:r>
      <w:r>
        <w:rPr>
          <w:rFonts w:ascii="黑体" w:hAnsi="黑体" w:eastAsia="黑体" w:cs="Times New Roman"/>
          <w:sz w:val="28"/>
          <w:szCs w:val="28"/>
        </w:rPr>
        <w:t>2</w:t>
      </w:r>
      <w:r>
        <w:rPr>
          <w:rFonts w:ascii="黑体" w:hAnsi="黑体" w:eastAsia="黑体" w:cs="Times New Roman"/>
          <w:sz w:val="28"/>
          <w:szCs w:val="28"/>
        </w:rPr>
        <w:fldChar w:fldCharType="end"/>
      </w:r>
      <w:r>
        <w:rPr>
          <w:rFonts w:hint="eastAsia" w:ascii="黑体" w:hAnsi="黑体" w:eastAsia="黑体" w:cs="Times New Roman"/>
          <w:sz w:val="28"/>
          <w:szCs w:val="28"/>
        </w:rPr>
        <w:t xml:space="preserve"> 术语和定义</w:t>
      </w:r>
    </w:p>
    <w:tbl>
      <w:tblPr>
        <w:tblStyle w:val="18"/>
        <w:tblW w:w="8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844"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rPr>
                <w:rFonts w:ascii="仿宋_GB2312" w:hAnsi="仿宋" w:eastAsia="仿宋_GB2312" w:cs="Times New Roman"/>
                <w:sz w:val="24"/>
                <w:szCs w:val="24"/>
              </w:rPr>
            </w:pPr>
            <w:r>
              <w:rPr>
                <w:rFonts w:hint="eastAsia" w:ascii="仿宋_GB2312" w:hAnsi="仿宋" w:eastAsia="仿宋_GB2312" w:cs="Times New Roman"/>
                <w:sz w:val="24"/>
                <w:szCs w:val="24"/>
              </w:rPr>
              <w:t>便携式数字设备用移动电源</w:t>
            </w:r>
          </w:p>
        </w:tc>
        <w:tc>
          <w:tcPr>
            <w:tcW w:w="6844"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由电池或电池组、相应的电路及外壳组合而成，可以提供稳定直流输出的非固定式电源系统，并且不超过18kg的预定可由使用人员携带的电源。</w:t>
            </w:r>
          </w:p>
          <w:p>
            <w:pPr>
              <w:autoSpaceDE w:val="0"/>
              <w:autoSpaceDN w:val="0"/>
              <w:adjustRightInd w:val="0"/>
              <w:rPr>
                <w:rFonts w:ascii="仿宋_GB2312" w:hAnsi="宋体" w:eastAsia="仿宋_GB2312"/>
                <w:sz w:val="24"/>
              </w:rPr>
            </w:pPr>
            <w:r>
              <w:rPr>
                <w:rFonts w:hint="eastAsia" w:ascii="仿宋_GB2312" w:hAnsi="宋体" w:eastAsia="仿宋_GB2312"/>
                <w:sz w:val="24"/>
              </w:rPr>
              <w:t>注1：便携式数字设备用移动电源俗称移动电源、充电宝；</w:t>
            </w:r>
          </w:p>
          <w:p>
            <w:pPr>
              <w:autoSpaceDE w:val="0"/>
              <w:autoSpaceDN w:val="0"/>
              <w:adjustRightInd w:val="0"/>
              <w:rPr>
                <w:rFonts w:ascii="仿宋_GB2312" w:hAnsi="宋体" w:eastAsia="仿宋_GB2312"/>
                <w:sz w:val="24"/>
              </w:rPr>
            </w:pPr>
            <w:r>
              <w:rPr>
                <w:rFonts w:hint="eastAsia" w:ascii="仿宋_GB2312" w:hAnsi="宋体" w:eastAsia="仿宋_GB2312"/>
                <w:sz w:val="24"/>
              </w:rPr>
              <w:t>注2：此处的电路可以是降压电路或者升压电路，也可以二者兼有；</w:t>
            </w:r>
          </w:p>
          <w:p>
            <w:pPr>
              <w:autoSpaceDE w:val="0"/>
              <w:autoSpaceDN w:val="0"/>
              <w:adjustRightInd w:val="0"/>
              <w:rPr>
                <w:rFonts w:ascii="仿宋_GB2312" w:hAnsi="仿宋" w:eastAsia="仿宋_GB2312" w:cs="Times New Roman"/>
                <w:sz w:val="24"/>
                <w:szCs w:val="24"/>
              </w:rPr>
            </w:pPr>
            <w:r>
              <w:rPr>
                <w:rFonts w:hint="eastAsia" w:ascii="仿宋_GB2312" w:hAnsi="宋体" w:eastAsia="仿宋_GB2312"/>
                <w:sz w:val="24"/>
              </w:rPr>
              <w:t>注3：便携式数字设备用移动电源可以是连接交流电源充电，也可以是连接直流电源充电。</w:t>
            </w:r>
          </w:p>
        </w:tc>
      </w:tr>
    </w:tbl>
    <w:p>
      <w:pPr>
        <w:snapToGrid w:val="0"/>
        <w:spacing w:beforeLines="50" w:line="360" w:lineRule="auto"/>
        <w:outlineLvl w:val="0"/>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4 检验依据</w:t>
      </w:r>
    </w:p>
    <w:p>
      <w:pPr>
        <w:snapToGrid w:val="0"/>
        <w:spacing w:beforeLines="50" w:line="360" w:lineRule="auto"/>
        <w:ind w:firstLine="570"/>
        <w:outlineLvl w:val="0"/>
        <w:rPr>
          <w:rFonts w:ascii="仿宋_GB2312" w:hAnsi="宋体" w:eastAsia="仿宋_GB2312" w:cs="Times New Roman"/>
          <w:color w:val="000000" w:themeColor="text1"/>
          <w:sz w:val="28"/>
          <w:szCs w:val="32"/>
        </w:rPr>
      </w:pPr>
      <w:r>
        <w:rPr>
          <w:rFonts w:hint="eastAsia" w:ascii="仿宋_GB2312" w:hAnsi="宋体" w:eastAsia="仿宋_GB2312" w:cs="Times New Roman"/>
          <w:color w:val="000000" w:themeColor="text1"/>
          <w:sz w:val="28"/>
          <w:szCs w:val="32"/>
        </w:rPr>
        <w:t>检验依据见表3。</w:t>
      </w:r>
    </w:p>
    <w:p>
      <w:pPr>
        <w:snapToGrid w:val="0"/>
        <w:spacing w:beforeLines="50"/>
        <w:ind w:firstLine="570"/>
        <w:jc w:val="center"/>
        <w:outlineLvl w:val="0"/>
        <w:rPr>
          <w:rFonts w:ascii="仿宋_GB2312" w:hAnsi="宋体" w:eastAsia="仿宋_GB2312" w:cs="Times New Roman"/>
          <w:color w:val="000000" w:themeColor="text1"/>
          <w:sz w:val="28"/>
          <w:szCs w:val="32"/>
        </w:rPr>
      </w:pPr>
      <w:r>
        <w:rPr>
          <w:rFonts w:hint="eastAsia" w:ascii="黑体" w:hAnsi="黑体" w:eastAsia="黑体" w:cs="Times New Roman"/>
          <w:color w:val="000000" w:themeColor="text1"/>
          <w:sz w:val="28"/>
          <w:szCs w:val="28"/>
        </w:rPr>
        <w:t>表3 检验依据</w:t>
      </w:r>
    </w:p>
    <w:tbl>
      <w:tblPr>
        <w:tblStyle w:val="18"/>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4920"/>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43" w:type="dxa"/>
            <w:vAlign w:val="center"/>
          </w:tcPr>
          <w:p>
            <w:pPr>
              <w:snapToGrid w:val="0"/>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标准号</w:t>
            </w:r>
          </w:p>
        </w:tc>
        <w:tc>
          <w:tcPr>
            <w:tcW w:w="4920" w:type="dxa"/>
            <w:vAlign w:val="center"/>
          </w:tcPr>
          <w:p>
            <w:pPr>
              <w:snapToGrid w:val="0"/>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标准名称</w:t>
            </w:r>
          </w:p>
        </w:tc>
        <w:tc>
          <w:tcPr>
            <w:tcW w:w="2394" w:type="dxa"/>
            <w:vAlign w:val="center"/>
          </w:tcPr>
          <w:p>
            <w:pPr>
              <w:snapToGrid w:val="0"/>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043"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35590-2017</w:t>
            </w:r>
          </w:p>
        </w:tc>
        <w:tc>
          <w:tcPr>
            <w:tcW w:w="4920"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《信息技术 便携式数字设备用移动电源通用规范》</w:t>
            </w:r>
          </w:p>
        </w:tc>
        <w:tc>
          <w:tcPr>
            <w:tcW w:w="2394"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3"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 4943.1-2011</w:t>
            </w:r>
          </w:p>
        </w:tc>
        <w:tc>
          <w:tcPr>
            <w:tcW w:w="4920"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《信息技术设备 安全 第1部分：通用要求》</w:t>
            </w:r>
          </w:p>
        </w:tc>
        <w:tc>
          <w:tcPr>
            <w:tcW w:w="2394"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3"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 31241-2014</w:t>
            </w:r>
          </w:p>
        </w:tc>
        <w:tc>
          <w:tcPr>
            <w:tcW w:w="4920"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《便携式电子产品用锂离子电池和电池组》</w:t>
            </w:r>
          </w:p>
        </w:tc>
        <w:tc>
          <w:tcPr>
            <w:tcW w:w="2394" w:type="dxa"/>
            <w:vAlign w:val="center"/>
          </w:tcPr>
          <w:p>
            <w:pPr>
              <w:snapToGrid w:val="0"/>
              <w:jc w:val="center"/>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3"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26572-2011</w:t>
            </w:r>
          </w:p>
        </w:tc>
        <w:tc>
          <w:tcPr>
            <w:tcW w:w="4920"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《电子电气产品中限用物质的限量要求》</w:t>
            </w:r>
          </w:p>
        </w:tc>
        <w:tc>
          <w:tcPr>
            <w:tcW w:w="2394" w:type="dxa"/>
            <w:vAlign w:val="center"/>
          </w:tcPr>
          <w:p>
            <w:pPr>
              <w:snapToGrid w:val="0"/>
              <w:jc w:val="center"/>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3" w:type="dxa"/>
            <w:vAlign w:val="center"/>
          </w:tcPr>
          <w:p>
            <w:pPr>
              <w:snapToGrid w:val="0"/>
              <w:jc w:val="center"/>
              <w:rPr>
                <w:rFonts w:ascii="仿宋_GB2312" w:hAnsi="宋体" w:eastAsia="仿宋_GB2312" w:cs="Times New Roman"/>
                <w:color w:val="000000" w:themeColor="text1"/>
                <w:sz w:val="24"/>
                <w:szCs w:val="24"/>
              </w:rPr>
            </w:pPr>
            <w:r>
              <w:rPr>
                <w:rFonts w:ascii="仿宋_GB2312" w:hAnsi="宋体" w:eastAsia="仿宋_GB2312" w:cs="Times New Roman"/>
                <w:color w:val="000000" w:themeColor="text1"/>
                <w:sz w:val="24"/>
                <w:szCs w:val="24"/>
              </w:rPr>
              <w:t>GB/T26125-2011</w:t>
            </w:r>
          </w:p>
        </w:tc>
        <w:tc>
          <w:tcPr>
            <w:tcW w:w="4920"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《电子电气产品六种限用物质（铅、汞、镉、六价铬、多溴联苯和多溴二苯醚）的测定》</w:t>
            </w:r>
          </w:p>
        </w:tc>
        <w:tc>
          <w:tcPr>
            <w:tcW w:w="2394" w:type="dxa"/>
            <w:vAlign w:val="center"/>
          </w:tcPr>
          <w:p>
            <w:pPr>
              <w:snapToGrid w:val="0"/>
              <w:jc w:val="center"/>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43" w:type="dxa"/>
            <w:vAlign w:val="center"/>
          </w:tcPr>
          <w:p>
            <w:pPr>
              <w:snapToGrid w:val="0"/>
              <w:jc w:val="center"/>
              <w:rPr>
                <w:rFonts w:ascii="仿宋_GB2312" w:hAnsi="宋体" w:eastAsia="仿宋_GB2312" w:cs="Times New Roman"/>
                <w:color w:val="000000" w:themeColor="text1"/>
                <w:sz w:val="24"/>
                <w:szCs w:val="24"/>
              </w:rPr>
            </w:pPr>
            <w:r>
              <w:rPr>
                <w:rFonts w:ascii="仿宋_GB2312" w:hAnsi="宋体" w:eastAsia="仿宋_GB2312" w:cs="Times New Roman"/>
                <w:color w:val="000000" w:themeColor="text1"/>
                <w:sz w:val="24"/>
                <w:szCs w:val="24"/>
              </w:rPr>
              <w:t>SJ/T11364-2014</w:t>
            </w:r>
          </w:p>
        </w:tc>
        <w:tc>
          <w:tcPr>
            <w:tcW w:w="4920" w:type="dxa"/>
            <w:vAlign w:val="center"/>
          </w:tcPr>
          <w:p>
            <w:pPr>
              <w:snapToGri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《电子电气产品有害物质限制使用标识要求》</w:t>
            </w:r>
          </w:p>
        </w:tc>
        <w:tc>
          <w:tcPr>
            <w:tcW w:w="2394" w:type="dxa"/>
            <w:vAlign w:val="center"/>
          </w:tcPr>
          <w:p>
            <w:pPr>
              <w:snapToGrid w:val="0"/>
              <w:jc w:val="center"/>
              <w:rPr>
                <w:rFonts w:ascii="仿宋_GB2312" w:hAnsi="Times New Roman" w:eastAsia="仿宋_GB2312" w:cs="Times New Roman"/>
                <w:color w:val="000000" w:themeColor="text1"/>
                <w:sz w:val="24"/>
                <w:szCs w:val="24"/>
              </w:rPr>
            </w:pP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Times New Roman"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bl>
    <w:p>
      <w:pPr>
        <w:snapToGrid w:val="0"/>
        <w:spacing w:line="360" w:lineRule="auto"/>
        <w:ind w:firstLine="560" w:firstLineChars="200"/>
        <w:rPr>
          <w:rFonts w:ascii="仿宋_GB2312" w:hAnsi="宋体" w:eastAsia="仿宋_GB2312" w:cs="Times New Roman"/>
          <w:color w:val="000000" w:themeColor="text1"/>
          <w:sz w:val="28"/>
          <w:szCs w:val="32"/>
        </w:rPr>
      </w:pPr>
      <w:r>
        <w:rPr>
          <w:rFonts w:hint="eastAsia" w:ascii="仿宋_GB2312" w:hAnsi="宋体" w:eastAsia="仿宋_GB2312" w:cs="Times New Roman"/>
          <w:color w:val="000000" w:themeColor="text1"/>
          <w:sz w:val="28"/>
          <w:szCs w:val="32"/>
        </w:rPr>
        <w:t>相关的产品强制性标准、行业标准、政府法规及产品的明示标准（包括备案的企业标准）和明示担保内容。</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5 抽样</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32"/>
        </w:rPr>
      </w:pPr>
      <w:r>
        <w:rPr>
          <w:rFonts w:hint="eastAsia" w:ascii="仿宋_GB2312" w:hAnsi="宋体" w:eastAsia="仿宋_GB2312" w:cs="Times New Roman"/>
          <w:color w:val="000000" w:themeColor="text1"/>
          <w:sz w:val="28"/>
          <w:szCs w:val="32"/>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在生产企业的成品库内、生产线末端成品堆放区随机抽取经企业检验合格或以任何方式表明已检验合格的并在国内销售的成品。在生产企业抽样原则上由企业按规定无偿提供样品。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5.3抽样基数</w:t>
      </w:r>
    </w:p>
    <w:p>
      <w:pPr>
        <w:snapToGrid w:val="0"/>
        <w:spacing w:line="360" w:lineRule="auto"/>
        <w:ind w:firstLine="560" w:firstLineChars="200"/>
        <w:rPr>
          <w:rFonts w:ascii="仿宋_GB2312" w:hAnsi="宋体" w:eastAsia="仿宋_GB2312" w:cs="Times New Roman"/>
          <w:color w:val="000000" w:themeColor="text1"/>
          <w:sz w:val="28"/>
          <w:szCs w:val="32"/>
        </w:rPr>
      </w:pPr>
      <w:r>
        <w:rPr>
          <w:rFonts w:hint="eastAsia" w:ascii="仿宋_GB2312" w:hAnsi="宋体" w:eastAsia="仿宋_GB2312" w:cs="Times New Roman"/>
          <w:color w:val="000000" w:themeColor="text1"/>
          <w:sz w:val="28"/>
          <w:szCs w:val="32"/>
        </w:rPr>
        <w:t>在生产企业成品库内及市场上抽样时，抽样基数应不少于抽取样品量。</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5.4 抽样数量</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32"/>
        </w:rPr>
        <w:t>生产领域抽取同一种规格型号移动电源34台，其中22台作为检验样品，12台作为备用样品；同时需抽取相对应的移动电源内部电池37个，其中27个作为检验样品，10个作为备用样品，</w:t>
      </w:r>
      <w:r>
        <w:rPr>
          <w:rFonts w:hint="eastAsia" w:ascii="仿宋_GB2312" w:hAnsi="宋体" w:eastAsia="仿宋_GB2312" w:cs="Times New Roman"/>
          <w:color w:val="000000" w:themeColor="text1"/>
          <w:sz w:val="28"/>
          <w:szCs w:val="28"/>
        </w:rPr>
        <w:t>受检单位需签署整机内部使用的电池与所抽取电池样品的一致性声明。检验样品带回承检机构，备用样品封存在承检机构。</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流通领域（实体店）：随机抽取同一规格型号的34台样品，22台作为检验样品带回承检机构，12台作为备用样品封存于受检单位。</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流通领域（网络交易平台）：随机抽取同一规格型号的34台样品，22台作为检验样品，12台作为备用样品封存于承检机构。</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5.5 样品处置</w:t>
      </w:r>
    </w:p>
    <w:p>
      <w:pPr>
        <w:snapToGrid w:val="0"/>
        <w:spacing w:line="360" w:lineRule="auto"/>
        <w:rPr>
          <w:rFonts w:ascii="仿宋_GB2312" w:hAnsi="宋体" w:eastAsia="仿宋_GB2312" w:cs="Times New Roman"/>
          <w:color w:val="000000" w:themeColor="text1"/>
          <w:sz w:val="28"/>
          <w:szCs w:val="32"/>
        </w:rPr>
      </w:pPr>
      <w:r>
        <w:rPr>
          <w:rFonts w:hint="eastAsia" w:ascii="仿宋_GB2312" w:hAnsi="ˎ̥" w:eastAsia="仿宋_GB2312" w:cs="Times New Roman"/>
          <w:b/>
          <w:color w:val="000000" w:themeColor="text1"/>
          <w:sz w:val="28"/>
          <w:szCs w:val="32"/>
        </w:rPr>
        <w:t xml:space="preserve">5.5.1 </w:t>
      </w:r>
      <w:r>
        <w:rPr>
          <w:rFonts w:hint="eastAsia" w:ascii="仿宋_GB2312" w:hAnsi="宋体" w:eastAsia="仿宋_GB2312" w:cs="Times New Roman"/>
          <w:color w:val="000000" w:themeColor="text1"/>
          <w:sz w:val="28"/>
          <w:szCs w:val="32"/>
        </w:rPr>
        <w:t>被抽查样品应贴封条和防拆封措施，以保证其完整性、真实性，包括附在样品上的使用说明及其他信息。如样品标签上标明特殊储存或搬运要求，样品应按要求进行处置，检验样品和备用样品应分别封样。</w:t>
      </w:r>
    </w:p>
    <w:p>
      <w:pPr>
        <w:snapToGrid w:val="0"/>
        <w:spacing w:line="360" w:lineRule="auto"/>
        <w:rPr>
          <w:rFonts w:ascii="仿宋_GB2312" w:hAnsi="宋体" w:eastAsia="仿宋_GB2312" w:cs="Times New Roman"/>
          <w:color w:val="000000" w:themeColor="text1"/>
          <w:sz w:val="28"/>
          <w:szCs w:val="32"/>
        </w:rPr>
      </w:pPr>
      <w:r>
        <w:rPr>
          <w:rFonts w:hint="eastAsia" w:ascii="仿宋_GB2312" w:hAnsi="宋体" w:eastAsia="仿宋_GB2312" w:cs="Times New Roman"/>
          <w:b/>
          <w:color w:val="000000" w:themeColor="text1"/>
          <w:sz w:val="28"/>
          <w:szCs w:val="32"/>
        </w:rPr>
        <w:t xml:space="preserve">5.5.2 </w:t>
      </w:r>
      <w:r>
        <w:rPr>
          <w:rFonts w:hint="eastAsia" w:ascii="仿宋_GB2312" w:hAnsi="宋体" w:eastAsia="仿宋_GB2312" w:cs="Times New Roman"/>
          <w:color w:val="000000" w:themeColor="text1"/>
          <w:sz w:val="28"/>
          <w:szCs w:val="32"/>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5.6 抽样单</w:t>
      </w:r>
    </w:p>
    <w:p>
      <w:pPr>
        <w:snapToGrid w:val="0"/>
        <w:spacing w:line="360" w:lineRule="auto"/>
        <w:ind w:firstLine="560" w:firstLineChars="200"/>
        <w:rPr>
          <w:rFonts w:ascii="仿宋_GB2312" w:hAnsi="Times New Roman" w:eastAsia="仿宋_GB2312" w:cs="Sim Sun"/>
          <w:strike/>
          <w:color w:val="000000" w:themeColor="text1"/>
          <w:kern w:val="0"/>
          <w:sz w:val="28"/>
          <w:szCs w:val="32"/>
        </w:rPr>
      </w:pPr>
      <w:r>
        <w:rPr>
          <w:rFonts w:hint="eastAsia" w:ascii="仿宋_GB2312" w:hAnsi="宋体" w:eastAsia="仿宋_GB2312" w:cs="Times New Roman"/>
          <w:color w:val="000000" w:themeColor="text1"/>
          <w:sz w:val="28"/>
          <w:szCs w:val="32"/>
        </w:rPr>
        <w:t>应按有关规定填写抽样单，并记录被抽查产品及企业相关信息。</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6 检验要求</w:t>
      </w:r>
    </w:p>
    <w:p>
      <w:pPr>
        <w:snapToGrid w:val="0"/>
        <w:spacing w:line="360" w:lineRule="auto"/>
        <w:rPr>
          <w:rFonts w:ascii="仿宋_GB2312" w:hAnsi="宋体" w:eastAsia="仿宋_GB2312" w:cs="Times New Roman"/>
          <w:b/>
          <w:color w:val="000000" w:themeColor="text1"/>
          <w:sz w:val="28"/>
          <w:szCs w:val="32"/>
        </w:rPr>
      </w:pPr>
      <w:r>
        <w:rPr>
          <w:rFonts w:hint="eastAsia" w:ascii="仿宋_GB2312" w:hAnsi="宋体" w:eastAsia="仿宋_GB2312" w:cs="Times New Roman"/>
          <w:b/>
          <w:color w:val="000000" w:themeColor="text1"/>
          <w:sz w:val="28"/>
          <w:szCs w:val="32"/>
        </w:rPr>
        <w:t>6.1 检验项目</w:t>
      </w:r>
    </w:p>
    <w:p>
      <w:pPr>
        <w:snapToGrid w:val="0"/>
        <w:spacing w:line="360" w:lineRule="auto"/>
        <w:rPr>
          <w:rFonts w:ascii="仿宋_GB2312" w:hAnsi="宋体" w:eastAsia="仿宋_GB2312" w:cs="Times New Roman"/>
          <w:color w:val="000000" w:themeColor="text1"/>
          <w:sz w:val="28"/>
          <w:szCs w:val="32"/>
        </w:rPr>
      </w:pPr>
      <w:r>
        <w:rPr>
          <w:rFonts w:hint="eastAsia" w:ascii="仿宋_GB2312" w:hAnsi="宋体" w:eastAsia="仿宋_GB2312" w:cs="Times New Roman"/>
          <w:color w:val="000000" w:themeColor="text1"/>
          <w:sz w:val="28"/>
          <w:szCs w:val="32"/>
        </w:rPr>
        <w:t xml:space="preserve">  移动电源整机检测项目见表4，移动电源电池检测项目见表5。</w:t>
      </w:r>
    </w:p>
    <w:p>
      <w:pPr>
        <w:snapToGrid w:val="0"/>
        <w:spacing w:line="440" w:lineRule="exact"/>
        <w:ind w:firstLine="560" w:firstLineChars="200"/>
        <w:jc w:val="center"/>
        <w:rPr>
          <w:rFonts w:ascii="黑体" w:hAnsi="黑体" w:eastAsia="黑体"/>
          <w:color w:val="000000" w:themeColor="text1"/>
          <w:sz w:val="28"/>
          <w:szCs w:val="28"/>
        </w:rPr>
      </w:pPr>
      <w:r>
        <w:rPr>
          <w:rFonts w:hint="eastAsia" w:ascii="黑体" w:hAnsi="黑体" w:eastAsia="黑体" w:cs="Times New Roman"/>
          <w:sz w:val="28"/>
          <w:szCs w:val="28"/>
        </w:rPr>
        <w:t>表4</w:t>
      </w:r>
      <w:r>
        <w:rPr>
          <w:rFonts w:hint="eastAsia" w:ascii="黑体" w:hAnsi="黑体" w:eastAsia="黑体"/>
          <w:color w:val="000000" w:themeColor="text1"/>
          <w:sz w:val="28"/>
          <w:szCs w:val="28"/>
        </w:rPr>
        <w:t xml:space="preserve"> 移动电源整机</w:t>
      </w:r>
      <w:r>
        <w:rPr>
          <w:rFonts w:ascii="黑体" w:hAnsi="黑体" w:eastAsia="黑体"/>
          <w:color w:val="000000" w:themeColor="text1"/>
          <w:sz w:val="28"/>
          <w:szCs w:val="28"/>
        </w:rPr>
        <w:t>检测</w:t>
      </w:r>
      <w:r>
        <w:rPr>
          <w:rFonts w:hint="eastAsia" w:ascii="黑体" w:hAnsi="黑体" w:eastAsia="黑体"/>
          <w:color w:val="000000" w:themeColor="text1"/>
          <w:sz w:val="28"/>
          <w:szCs w:val="28"/>
        </w:rPr>
        <w:t>项目</w:t>
      </w:r>
    </w:p>
    <w:tbl>
      <w:tblPr>
        <w:tblStyle w:val="18"/>
        <w:tblW w:w="10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65"/>
        <w:gridCol w:w="171"/>
        <w:gridCol w:w="42"/>
        <w:gridCol w:w="1375"/>
        <w:gridCol w:w="2467"/>
        <w:gridCol w:w="1219"/>
        <w:gridCol w:w="2693"/>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92" w:type="dxa"/>
            <w:vAlign w:val="center"/>
          </w:tcPr>
          <w:p>
            <w:pPr>
              <w:snapToGrid w:val="0"/>
              <w:jc w:val="center"/>
              <w:rPr>
                <w:rFonts w:ascii="黑体" w:hAnsi="黑体" w:eastAsia="黑体"/>
                <w:color w:val="000000" w:themeColor="text1"/>
                <w:sz w:val="24"/>
              </w:rPr>
            </w:pPr>
            <w:r>
              <w:rPr>
                <w:rFonts w:hint="eastAsia" w:ascii="黑体" w:hAnsi="黑体" w:eastAsia="黑体"/>
                <w:color w:val="000000" w:themeColor="text1"/>
                <w:sz w:val="24"/>
              </w:rPr>
              <w:t>序号</w:t>
            </w:r>
          </w:p>
        </w:tc>
        <w:tc>
          <w:tcPr>
            <w:tcW w:w="2353" w:type="dxa"/>
            <w:gridSpan w:val="4"/>
            <w:vAlign w:val="center"/>
          </w:tcPr>
          <w:p>
            <w:pPr>
              <w:snapToGrid w:val="0"/>
              <w:jc w:val="center"/>
              <w:rPr>
                <w:rFonts w:ascii="黑体" w:hAnsi="黑体" w:eastAsia="黑体"/>
                <w:color w:val="000000" w:themeColor="text1"/>
                <w:sz w:val="24"/>
                <w:vertAlign w:val="superscript"/>
              </w:rPr>
            </w:pPr>
            <w:r>
              <w:rPr>
                <w:rFonts w:hint="eastAsia" w:ascii="黑体" w:hAnsi="黑体" w:eastAsia="黑体"/>
                <w:color w:val="000000" w:themeColor="text1"/>
                <w:sz w:val="24"/>
              </w:rPr>
              <w:t>检验项目</w:t>
            </w:r>
            <w:r>
              <w:rPr>
                <w:rFonts w:hint="eastAsia" w:ascii="黑体" w:hAnsi="黑体" w:eastAsia="黑体"/>
                <w:color w:val="000000" w:themeColor="text1"/>
                <w:sz w:val="24"/>
                <w:vertAlign w:val="superscript"/>
              </w:rPr>
              <w:t>4</w:t>
            </w:r>
          </w:p>
        </w:tc>
        <w:tc>
          <w:tcPr>
            <w:tcW w:w="2467" w:type="dxa"/>
            <w:vAlign w:val="center"/>
          </w:tcPr>
          <w:p>
            <w:pPr>
              <w:snapToGrid w:val="0"/>
              <w:jc w:val="center"/>
              <w:rPr>
                <w:rFonts w:ascii="黑体" w:hAnsi="黑体" w:eastAsia="黑体"/>
                <w:color w:val="000000" w:themeColor="text1"/>
                <w:sz w:val="24"/>
              </w:rPr>
            </w:pPr>
            <w:r>
              <w:rPr>
                <w:rFonts w:hint="eastAsia" w:ascii="黑体" w:hAnsi="黑体" w:eastAsia="黑体"/>
                <w:color w:val="000000" w:themeColor="text1"/>
                <w:sz w:val="24"/>
              </w:rPr>
              <w:t>检测依据</w:t>
            </w:r>
          </w:p>
        </w:tc>
        <w:tc>
          <w:tcPr>
            <w:tcW w:w="1219" w:type="dxa"/>
            <w:vAlign w:val="center"/>
          </w:tcPr>
          <w:p>
            <w:pPr>
              <w:snapToGrid w:val="0"/>
              <w:jc w:val="center"/>
              <w:rPr>
                <w:rFonts w:ascii="黑体" w:hAnsi="黑体" w:eastAsia="黑体"/>
                <w:color w:val="000000" w:themeColor="text1"/>
                <w:sz w:val="24"/>
              </w:rPr>
            </w:pPr>
            <w:r>
              <w:rPr>
                <w:rFonts w:hint="eastAsia" w:ascii="黑体" w:hAnsi="黑体" w:eastAsia="黑体"/>
                <w:color w:val="000000" w:themeColor="text1"/>
                <w:sz w:val="24"/>
              </w:rPr>
              <w:t>项目性质</w:t>
            </w:r>
          </w:p>
        </w:tc>
        <w:tc>
          <w:tcPr>
            <w:tcW w:w="2693" w:type="dxa"/>
            <w:vAlign w:val="center"/>
          </w:tcPr>
          <w:p>
            <w:pPr>
              <w:snapToGrid w:val="0"/>
              <w:jc w:val="center"/>
              <w:rPr>
                <w:rFonts w:ascii="黑体" w:hAnsi="黑体" w:eastAsia="黑体"/>
                <w:color w:val="000000" w:themeColor="text1"/>
                <w:sz w:val="24"/>
              </w:rPr>
            </w:pPr>
            <w:r>
              <w:rPr>
                <w:rFonts w:hint="eastAsia" w:ascii="黑体" w:hAnsi="黑体" w:eastAsia="黑体"/>
                <w:color w:val="000000" w:themeColor="text1"/>
                <w:sz w:val="24"/>
              </w:rPr>
              <w:t>检测方法</w:t>
            </w:r>
          </w:p>
        </w:tc>
        <w:tc>
          <w:tcPr>
            <w:tcW w:w="804" w:type="dxa"/>
            <w:vAlign w:val="center"/>
          </w:tcPr>
          <w:p>
            <w:pPr>
              <w:snapToGrid w:val="0"/>
              <w:jc w:val="center"/>
              <w:rPr>
                <w:rFonts w:ascii="黑体" w:hAnsi="黑体" w:eastAsia="黑体"/>
                <w:color w:val="000000" w:themeColor="text1"/>
                <w:sz w:val="24"/>
              </w:rPr>
            </w:pPr>
            <w:r>
              <w:rPr>
                <w:rFonts w:hint="eastAsia" w:ascii="黑体" w:hAnsi="黑体" w:eastAsia="黑体"/>
                <w:color w:val="000000" w:themeColor="text1"/>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w:t>
            </w:r>
          </w:p>
        </w:tc>
        <w:tc>
          <w:tcPr>
            <w:tcW w:w="2353" w:type="dxa"/>
            <w:gridSpan w:val="4"/>
            <w:vAlign w:val="center"/>
          </w:tcPr>
          <w:p>
            <w:pPr>
              <w:widowControl/>
              <w:snapToGrid w:val="0"/>
              <w:jc w:val="center"/>
              <w:rPr>
                <w:rFonts w:ascii="仿宋_GB2312" w:hAnsi="仿宋" w:eastAsia="仿宋_GB2312"/>
                <w:bCs/>
                <w:sz w:val="24"/>
              </w:rPr>
            </w:pPr>
            <w:r>
              <w:rPr>
                <w:rFonts w:hint="eastAsia" w:ascii="仿宋_GB2312" w:hAnsi="仿宋" w:eastAsia="仿宋_GB2312"/>
                <w:bCs/>
                <w:sz w:val="24"/>
              </w:rPr>
              <w:t>电源接口</w:t>
            </w:r>
          </w:p>
        </w:tc>
        <w:tc>
          <w:tcPr>
            <w:tcW w:w="2467" w:type="dxa"/>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1.6</w:t>
            </w:r>
          </w:p>
        </w:tc>
        <w:tc>
          <w:tcPr>
            <w:tcW w:w="1219" w:type="dxa"/>
            <w:vAlign w:val="center"/>
          </w:tcPr>
          <w:p>
            <w:pPr>
              <w:widowControl/>
              <w:snapToGrid w:val="0"/>
              <w:jc w:val="center"/>
              <w:rPr>
                <w:rFonts w:ascii="仿宋_GB2312" w:hAnsi="仿宋" w:eastAsia="仿宋_GB2312" w:cs="宋体"/>
                <w:sz w:val="24"/>
              </w:rPr>
            </w:pPr>
            <w:r>
              <w:rPr>
                <w:rFonts w:hint="eastAsia" w:ascii="仿宋_GB2312" w:hAnsi="仿宋" w:eastAsia="仿宋_GB2312" w:cs="宋体"/>
                <w:sz w:val="24"/>
              </w:rPr>
              <w:t>强制性</w:t>
            </w:r>
          </w:p>
        </w:tc>
        <w:tc>
          <w:tcPr>
            <w:tcW w:w="2693" w:type="dxa"/>
            <w:vAlign w:val="center"/>
          </w:tcPr>
          <w:p>
            <w:pPr>
              <w:widowControl/>
              <w:snapToGrid w:val="0"/>
              <w:jc w:val="center"/>
              <w:rPr>
                <w:rFonts w:ascii="仿宋_GB2312" w:hAnsi="仿宋" w:eastAsia="仿宋_GB2312"/>
                <w:sz w:val="24"/>
              </w:rPr>
            </w:pPr>
            <w:r>
              <w:rPr>
                <w:rFonts w:hint="eastAsia" w:ascii="仿宋_GB2312" w:hAnsi="仿宋" w:eastAsia="仿宋_GB2312"/>
                <w:sz w:val="24"/>
              </w:rPr>
              <w:t>GB 4943.1-2011 1.6</w:t>
            </w:r>
          </w:p>
        </w:tc>
        <w:tc>
          <w:tcPr>
            <w:tcW w:w="804" w:type="dxa"/>
            <w:vAlign w:val="center"/>
          </w:tcPr>
          <w:p>
            <w:pPr>
              <w:widowControl/>
              <w:snapToGrid w:val="0"/>
              <w:jc w:val="center"/>
              <w:rPr>
                <w:rFonts w:ascii="仿宋_GB2312" w:hAnsi="仿宋" w:eastAsia="仿宋_GB2312" w:cs="宋体"/>
                <w:sz w:val="24"/>
              </w:rPr>
            </w:pPr>
            <w:r>
              <w:rPr>
                <w:rFonts w:hint="eastAsia" w:ascii="仿宋_GB2312" w:hAnsi="仿宋" w:eastAsia="仿宋_GB2312"/>
                <w:bCs/>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输入电流</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4943.1-20111.6.2</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4943.1-20111.6.2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电池</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4943.1-20114.3.8</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 4.3.8</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发热要求</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4943.1-20114.5</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4943.1-20114.5</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异常工作和故障条件</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4943.1-20115.3</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4943.1-20115.3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6</w:t>
            </w:r>
          </w:p>
        </w:tc>
        <w:tc>
          <w:tcPr>
            <w:tcW w:w="936" w:type="dxa"/>
            <w:gridSpan w:val="2"/>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电子电气产品有害物质限制使用标识要求</w:t>
            </w:r>
            <w:r>
              <w:rPr>
                <w:rFonts w:hint="eastAsia" w:ascii="仿宋_GB2312" w:hAnsi="仿宋" w:eastAsia="仿宋_GB2312"/>
                <w:color w:val="000000" w:themeColor="text1"/>
                <w:sz w:val="24"/>
                <w:szCs w:val="24"/>
                <w:vertAlign w:val="superscript"/>
              </w:rPr>
              <w:t>1</w:t>
            </w:r>
          </w:p>
        </w:tc>
        <w:tc>
          <w:tcPr>
            <w:tcW w:w="1417" w:type="dxa"/>
            <w:gridSpan w:val="2"/>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电子电气产品有害物质限制使用标志</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SJ/T 11364-20145.6.1</w:t>
            </w:r>
          </w:p>
        </w:tc>
        <w:tc>
          <w:tcPr>
            <w:tcW w:w="1219" w:type="dxa"/>
            <w:vMerge w:val="restart"/>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SJ/T 11364-20145.6.1</w:t>
            </w:r>
          </w:p>
        </w:tc>
        <w:tc>
          <w:tcPr>
            <w:tcW w:w="804" w:type="dxa"/>
            <w:vMerge w:val="restart"/>
            <w:vAlign w:val="center"/>
          </w:tcPr>
          <w:p>
            <w:pPr>
              <w:snapToGrid w:val="0"/>
              <w:spacing w:line="340" w:lineRule="exact"/>
              <w:jc w:val="center"/>
              <w:rPr>
                <w:rFonts w:ascii="仿宋_GB2312" w:hAnsi="仿宋" w:eastAsia="仿宋_GB2312"/>
                <w:color w:val="000000" w:themeColor="text1"/>
                <w:sz w:val="24"/>
                <w:szCs w:val="24"/>
                <w:vertAlign w:val="superscript"/>
              </w:rPr>
            </w:pPr>
            <w:r>
              <w:rPr>
                <w:rFonts w:hint="eastAsia" w:ascii="仿宋_GB2312" w:hAnsi="仿宋" w:eastAsia="仿宋_GB2312"/>
                <w:color w:val="000000" w:themeColor="text1"/>
                <w:sz w:val="24"/>
                <w:szCs w:val="24"/>
              </w:rPr>
              <w:t>原样/备样</w:t>
            </w:r>
            <w:r>
              <w:rPr>
                <w:rFonts w:hint="eastAsia" w:ascii="仿宋_GB2312" w:hAnsi="仿宋" w:eastAsia="仿宋_GB2312"/>
                <w:color w:val="000000" w:themeColor="text1"/>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36" w:type="dxa"/>
            <w:gridSpan w:val="2"/>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417" w:type="dxa"/>
            <w:gridSpan w:val="2"/>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s="Times New Roman"/>
                <w:color w:val="000000" w:themeColor="text1"/>
                <w:sz w:val="24"/>
                <w:szCs w:val="24"/>
              </w:rPr>
              <w:t>有害物质标识（及含量</w:t>
            </w:r>
            <w:r>
              <w:rPr>
                <w:rFonts w:hint="eastAsia" w:ascii="仿宋_GB2312" w:hAnsi="仿宋" w:eastAsia="仿宋_GB2312" w:cs="Times New Roman"/>
                <w:color w:val="000000" w:themeColor="text1"/>
                <w:sz w:val="24"/>
                <w:szCs w:val="24"/>
                <w:vertAlign w:val="superscript"/>
              </w:rPr>
              <w:t>2</w:t>
            </w:r>
            <w:r>
              <w:rPr>
                <w:rFonts w:hint="eastAsia" w:ascii="仿宋_GB2312" w:hAnsi="仿宋" w:eastAsia="仿宋_GB2312" w:cs="Times New Roman"/>
                <w:color w:val="000000" w:themeColor="text1"/>
                <w:sz w:val="24"/>
                <w:szCs w:val="24"/>
              </w:rPr>
              <w:t>）</w:t>
            </w:r>
          </w:p>
        </w:tc>
        <w:tc>
          <w:tcPr>
            <w:tcW w:w="2467" w:type="dxa"/>
            <w:vAlign w:val="center"/>
          </w:tcPr>
          <w:p>
            <w:pPr>
              <w:snapToGrid w:val="0"/>
              <w:spacing w:line="34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SJ/T 11364-20146.2</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s="Times New Roman"/>
                <w:sz w:val="24"/>
                <w:szCs w:val="24"/>
              </w:rPr>
              <w:t>GB/T 26572-2011</w:t>
            </w: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Align w:val="center"/>
          </w:tcPr>
          <w:p>
            <w:pPr>
              <w:snapToGrid w:val="0"/>
              <w:spacing w:line="340" w:lineRule="exact"/>
              <w:jc w:val="center"/>
              <w:rPr>
                <w:rFonts w:ascii="仿宋_GB2312" w:hAnsi="仿宋" w:eastAsia="仿宋_GB2312" w:cs="Times New Roman"/>
                <w:sz w:val="24"/>
                <w:szCs w:val="24"/>
              </w:rPr>
            </w:pPr>
            <w:r>
              <w:rPr>
                <w:rFonts w:hint="eastAsia" w:ascii="仿宋_GB2312" w:hAnsi="仿宋" w:eastAsia="仿宋_GB2312" w:cs="Times New Roman"/>
                <w:sz w:val="24"/>
                <w:szCs w:val="24"/>
              </w:rPr>
              <w:t>SJ/T 11364-2014 6.2</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s="Times New Roman"/>
                <w:sz w:val="24"/>
                <w:szCs w:val="24"/>
              </w:rPr>
              <w:t>GB/T 26125-2011</w:t>
            </w:r>
          </w:p>
        </w:tc>
        <w:tc>
          <w:tcPr>
            <w:tcW w:w="804" w:type="dxa"/>
            <w:vMerge w:val="continue"/>
            <w:vAlign w:val="center"/>
          </w:tcPr>
          <w:p>
            <w:pPr>
              <w:snapToGrid w:val="0"/>
              <w:spacing w:line="340" w:lineRule="exact"/>
              <w:jc w:val="center"/>
              <w:rPr>
                <w:rFonts w:ascii="仿宋_GB2312" w:hAnsi="仿宋"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36" w:type="dxa"/>
            <w:gridSpan w:val="2"/>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417" w:type="dxa"/>
            <w:gridSpan w:val="2"/>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环保使用期限标识</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SJ/T 11364-20146.3</w:t>
            </w: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SJ/T 11364-20146.3</w:t>
            </w:r>
          </w:p>
        </w:tc>
        <w:tc>
          <w:tcPr>
            <w:tcW w:w="804" w:type="dxa"/>
            <w:vMerge w:val="continue"/>
            <w:vAlign w:val="center"/>
          </w:tcPr>
          <w:p>
            <w:pPr>
              <w:snapToGrid w:val="0"/>
              <w:spacing w:line="340" w:lineRule="exact"/>
              <w:jc w:val="center"/>
              <w:rPr>
                <w:rFonts w:ascii="仿宋_GB2312" w:hAnsi="仿宋" w:eastAsia="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7</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外观</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4.1.1</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35590-20175.3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8</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标识</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35590-20174.1.2</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35590-20175.3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9</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接口</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35590-20174.2</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35590-20175.4</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10</w:t>
            </w:r>
          </w:p>
        </w:tc>
        <w:tc>
          <w:tcPr>
            <w:tcW w:w="765"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有效输出容量</w:t>
            </w:r>
          </w:p>
        </w:tc>
        <w:tc>
          <w:tcPr>
            <w:tcW w:w="1588" w:type="dxa"/>
            <w:gridSpan w:val="3"/>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常温下有效输出容量</w:t>
            </w:r>
          </w:p>
        </w:tc>
        <w:tc>
          <w:tcPr>
            <w:tcW w:w="2467"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4.3.1.1</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5.5.2.1</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11</w:t>
            </w:r>
          </w:p>
        </w:tc>
        <w:tc>
          <w:tcPr>
            <w:tcW w:w="765"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588" w:type="dxa"/>
            <w:gridSpan w:val="3"/>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低温下有效输出容量</w:t>
            </w:r>
          </w:p>
        </w:tc>
        <w:tc>
          <w:tcPr>
            <w:tcW w:w="2467"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4.3.1.2</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5.5.2.2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12</w:t>
            </w:r>
          </w:p>
        </w:tc>
        <w:tc>
          <w:tcPr>
            <w:tcW w:w="765"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588" w:type="dxa"/>
            <w:gridSpan w:val="3"/>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高温下有效输出容量</w:t>
            </w:r>
          </w:p>
        </w:tc>
        <w:tc>
          <w:tcPr>
            <w:tcW w:w="2467"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4.3.1.3</w:t>
            </w:r>
          </w:p>
        </w:tc>
        <w:tc>
          <w:tcPr>
            <w:tcW w:w="1219" w:type="dxa"/>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5.5.2.3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13</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容量保持能力</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35590-20174.3.2</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14</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循环寿命</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35590-20174.3.3</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5.5.4</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15</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转换效率</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35590-20174.3.4</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5.5.5</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16</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输出电压</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35590-20174.3.5</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5.5.6</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17</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纹波与杂讯</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35590-20174.3.6</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5.5.7</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18</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充电状态下的电源适应性</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35590-20174.3.7</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5.5.8</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19</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过充电保护</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35590-20174.4.1</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5.6.1</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20</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过放电保护</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35590-20174.4.2</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5.6.2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21</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短路保护</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35590-20174.4.3</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5.6.3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22</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过载保护</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35590-20174.4.4</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5.6.4</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23</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误操作</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35590-20174.4.5</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5.6.5</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24</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整机电气安全</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35590-20174.5.1</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5.7.1</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25</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电池和电池组安全要求</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35590-20174.5.2</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35590-20175.7.2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jc w:val="center"/>
              <w:rPr>
                <w:rFonts w:ascii="仿宋_GB2312" w:hAnsi="仿宋" w:eastAsia="仿宋_GB2312"/>
                <w:sz w:val="24"/>
                <w:szCs w:val="24"/>
              </w:rPr>
            </w:pPr>
            <w:r>
              <w:rPr>
                <w:rFonts w:hint="eastAsia" w:ascii="仿宋_GB2312" w:hAnsi="仿宋" w:eastAsia="仿宋_GB2312"/>
                <w:sz w:val="24"/>
                <w:szCs w:val="24"/>
              </w:rPr>
              <w:t>26</w:t>
            </w:r>
          </w:p>
        </w:tc>
        <w:tc>
          <w:tcPr>
            <w:tcW w:w="2353" w:type="dxa"/>
            <w:gridSpan w:val="4"/>
            <w:vAlign w:val="center"/>
          </w:tcPr>
          <w:p>
            <w:pPr>
              <w:jc w:val="center"/>
              <w:rPr>
                <w:rFonts w:ascii="仿宋_GB2312" w:hAnsi="仿宋" w:eastAsia="仿宋_GB2312"/>
                <w:sz w:val="24"/>
                <w:szCs w:val="24"/>
              </w:rPr>
            </w:pPr>
            <w:r>
              <w:rPr>
                <w:rFonts w:hint="eastAsia" w:ascii="仿宋_GB2312" w:hAnsi="仿宋" w:eastAsia="仿宋_GB2312"/>
                <w:sz w:val="24"/>
                <w:szCs w:val="24"/>
              </w:rPr>
              <w:t>材料阻燃</w:t>
            </w:r>
          </w:p>
        </w:tc>
        <w:tc>
          <w:tcPr>
            <w:tcW w:w="2467" w:type="dxa"/>
            <w:vAlign w:val="center"/>
          </w:tcPr>
          <w:p>
            <w:pPr>
              <w:jc w:val="center"/>
              <w:rPr>
                <w:rFonts w:ascii="仿宋_GB2312" w:hAnsi="仿宋" w:eastAsia="仿宋_GB2312"/>
                <w:sz w:val="24"/>
                <w:szCs w:val="24"/>
              </w:rPr>
            </w:pPr>
            <w:r>
              <w:rPr>
                <w:rFonts w:hint="eastAsia" w:ascii="仿宋_GB2312" w:hAnsi="仿宋" w:eastAsia="仿宋_GB2312"/>
                <w:sz w:val="24"/>
                <w:szCs w:val="24"/>
              </w:rPr>
              <w:t>GB/T 35590-2017 4.5.3</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jc w:val="center"/>
              <w:rPr>
                <w:rFonts w:ascii="仿宋_GB2312" w:hAnsi="仿宋" w:eastAsia="仿宋_GB2312"/>
                <w:sz w:val="24"/>
                <w:szCs w:val="24"/>
              </w:rPr>
            </w:pPr>
            <w:r>
              <w:rPr>
                <w:rFonts w:hint="eastAsia" w:ascii="仿宋_GB2312" w:hAnsi="仿宋" w:eastAsia="仿宋_GB2312"/>
                <w:sz w:val="24"/>
                <w:szCs w:val="24"/>
              </w:rPr>
              <w:t>GB/T 35590-2017 5.7.3</w:t>
            </w:r>
          </w:p>
        </w:tc>
        <w:tc>
          <w:tcPr>
            <w:tcW w:w="804" w:type="dxa"/>
            <w:vAlign w:val="center"/>
          </w:tcPr>
          <w:p>
            <w:pPr>
              <w:jc w:val="center"/>
              <w:rPr>
                <w:rFonts w:ascii="仿宋_GB2312" w:hAnsi="仿宋" w:eastAsia="仿宋_GB2312"/>
                <w:sz w:val="24"/>
                <w:szCs w:val="24"/>
              </w:rPr>
            </w:pPr>
            <w:r>
              <w:rPr>
                <w:rFonts w:hint="eastAsia" w:ascii="仿宋_GB2312" w:hAnsi="仿宋"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27</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应力消除</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35590-20174.5.4</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5.7.4</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28</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受限制电源</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35590-20174.5.5</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5.7.5</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29</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高温充放电</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35590-20174.5.6</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5.7.6</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30</w:t>
            </w:r>
          </w:p>
        </w:tc>
        <w:tc>
          <w:tcPr>
            <w:tcW w:w="978" w:type="dxa"/>
            <w:gridSpan w:val="3"/>
            <w:vMerge w:val="restart"/>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无线电骚扰</w:t>
            </w: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传导骚扰</w:t>
            </w:r>
            <w:r>
              <w:rPr>
                <w:rFonts w:hint="eastAsia" w:ascii="仿宋_GB2312" w:hAnsi="仿宋" w:eastAsia="仿宋_GB2312"/>
                <w:sz w:val="24"/>
                <w:szCs w:val="24"/>
                <w:vertAlign w:val="superscript"/>
              </w:rPr>
              <w:t>3</w:t>
            </w:r>
          </w:p>
        </w:tc>
        <w:tc>
          <w:tcPr>
            <w:tcW w:w="2467" w:type="dxa"/>
            <w:vMerge w:val="restart"/>
          </w:tcPr>
          <w:p>
            <w:pPr>
              <w:jc w:val="center"/>
            </w:pPr>
            <w:r>
              <w:rPr>
                <w:rFonts w:hint="eastAsia" w:ascii="仿宋_GB2312" w:hAnsi="仿宋" w:eastAsia="仿宋_GB2312"/>
                <w:color w:val="000000" w:themeColor="text1"/>
                <w:sz w:val="24"/>
                <w:szCs w:val="24"/>
              </w:rPr>
              <w:t>GB/T 35590-20174.6.1</w:t>
            </w:r>
          </w:p>
        </w:tc>
        <w:tc>
          <w:tcPr>
            <w:tcW w:w="1219" w:type="dxa"/>
            <w:vMerge w:val="restart"/>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35590-20174.8.1</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jc w:val="center"/>
              <w:rPr>
                <w:rFonts w:ascii="仿宋_GB2312" w:hAnsi="仿宋" w:eastAsia="仿宋_GB2312"/>
                <w:sz w:val="24"/>
                <w:szCs w:val="24"/>
              </w:rPr>
            </w:pPr>
            <w:r>
              <w:rPr>
                <w:rFonts w:hint="eastAsia" w:ascii="仿宋_GB2312" w:hAnsi="仿宋" w:eastAsia="仿宋_GB2312"/>
                <w:sz w:val="24"/>
                <w:szCs w:val="24"/>
              </w:rPr>
              <w:t>辐射骚扰</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Merge w:val="continue"/>
            <w:vAlign w:val="center"/>
          </w:tcPr>
          <w:p>
            <w:pPr>
              <w:snapToGrid w:val="0"/>
              <w:spacing w:line="340" w:lineRule="exact"/>
              <w:jc w:val="center"/>
              <w:rPr>
                <w:rFonts w:ascii="仿宋_GB2312" w:hAnsi="仿宋" w:eastAsia="仿宋_GB2312"/>
                <w:color w:val="FF0000"/>
                <w:sz w:val="24"/>
                <w:szCs w:val="24"/>
              </w:rPr>
            </w:pP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31</w:t>
            </w:r>
          </w:p>
        </w:tc>
        <w:tc>
          <w:tcPr>
            <w:tcW w:w="978" w:type="dxa"/>
            <w:gridSpan w:val="3"/>
            <w:vMerge w:val="restart"/>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抗扰度</w:t>
            </w: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静电放电抗扰度</w:t>
            </w:r>
          </w:p>
        </w:tc>
        <w:tc>
          <w:tcPr>
            <w:tcW w:w="2467"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4.6.2</w:t>
            </w:r>
          </w:p>
        </w:tc>
        <w:tc>
          <w:tcPr>
            <w:tcW w:w="1219" w:type="dxa"/>
            <w:vMerge w:val="restart"/>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FF0000"/>
                <w:sz w:val="24"/>
                <w:szCs w:val="24"/>
              </w:rPr>
            </w:pPr>
            <w:r>
              <w:rPr>
                <w:rFonts w:hint="eastAsia" w:ascii="仿宋_GB2312" w:hAnsi="仿宋" w:eastAsia="仿宋_GB2312"/>
                <w:color w:val="000000" w:themeColor="text1"/>
                <w:sz w:val="24"/>
                <w:szCs w:val="24"/>
              </w:rPr>
              <w:t>5.8.2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射频电磁场辐射抗扰度</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电快速脉冲群抗扰度</w:t>
            </w:r>
            <w:r>
              <w:rPr>
                <w:rFonts w:hint="eastAsia" w:ascii="仿宋_GB2312" w:hAnsi="仿宋" w:eastAsia="仿宋_GB2312"/>
                <w:sz w:val="24"/>
                <w:szCs w:val="24"/>
                <w:vertAlign w:val="superscript"/>
              </w:rPr>
              <w:t>3</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浪涌（冲击）</w:t>
            </w:r>
            <w:r>
              <w:rPr>
                <w:rFonts w:hint="eastAsia" w:ascii="仿宋_GB2312" w:hAnsi="仿宋" w:eastAsia="仿宋_GB2312"/>
                <w:sz w:val="24"/>
                <w:szCs w:val="24"/>
                <w:vertAlign w:val="superscript"/>
              </w:rPr>
              <w:t>3</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射频连续波传导抗扰度</w:t>
            </w:r>
            <w:r>
              <w:rPr>
                <w:rFonts w:hint="eastAsia" w:ascii="仿宋_GB2312" w:hAnsi="仿宋" w:eastAsia="仿宋_GB2312"/>
                <w:sz w:val="24"/>
                <w:szCs w:val="24"/>
                <w:vertAlign w:val="superscript"/>
              </w:rPr>
              <w:t>3</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电压暂降与中断</w:t>
            </w:r>
            <w:r>
              <w:rPr>
                <w:rFonts w:hint="eastAsia" w:ascii="仿宋_GB2312" w:hAnsi="仿宋" w:eastAsia="仿宋_GB2312"/>
                <w:sz w:val="24"/>
                <w:szCs w:val="24"/>
                <w:vertAlign w:val="superscript"/>
              </w:rPr>
              <w:t>3</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32</w:t>
            </w:r>
          </w:p>
        </w:tc>
        <w:tc>
          <w:tcPr>
            <w:tcW w:w="978" w:type="dxa"/>
            <w:gridSpan w:val="3"/>
            <w:vMerge w:val="restart"/>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恒定湿热</w:t>
            </w: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工作条件下的恒定湿热试验</w:t>
            </w:r>
          </w:p>
        </w:tc>
        <w:tc>
          <w:tcPr>
            <w:tcW w:w="2467" w:type="dxa"/>
            <w:vMerge w:val="restart"/>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4.7.1</w:t>
            </w:r>
          </w:p>
        </w:tc>
        <w:tc>
          <w:tcPr>
            <w:tcW w:w="1219" w:type="dxa"/>
            <w:vMerge w:val="restart"/>
            <w:vAlign w:val="center"/>
          </w:tcPr>
          <w:p>
            <w:pPr>
              <w:snapToGrid w:val="0"/>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5.9.1.1</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33</w:t>
            </w:r>
          </w:p>
        </w:tc>
        <w:tc>
          <w:tcPr>
            <w:tcW w:w="978" w:type="dxa"/>
            <w:gridSpan w:val="3"/>
            <w:vMerge w:val="continue"/>
            <w:vAlign w:val="center"/>
          </w:tcPr>
          <w:p>
            <w:pPr>
              <w:snapToGrid w:val="0"/>
              <w:spacing w:line="340" w:lineRule="exact"/>
              <w:jc w:val="center"/>
              <w:rPr>
                <w:rFonts w:ascii="仿宋_GB2312" w:hAnsi="仿宋" w:eastAsia="仿宋_GB2312"/>
                <w:sz w:val="24"/>
                <w:szCs w:val="24"/>
              </w:rPr>
            </w:pPr>
          </w:p>
        </w:tc>
        <w:tc>
          <w:tcPr>
            <w:tcW w:w="1375" w:type="dxa"/>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贮存运输条件下的恒定湿热试验</w:t>
            </w:r>
          </w:p>
        </w:tc>
        <w:tc>
          <w:tcPr>
            <w:tcW w:w="2467" w:type="dxa"/>
            <w:vMerge w:val="continue"/>
            <w:vAlign w:val="center"/>
          </w:tcPr>
          <w:p>
            <w:pPr>
              <w:snapToGrid w:val="0"/>
              <w:spacing w:line="340" w:lineRule="exact"/>
              <w:jc w:val="center"/>
              <w:rPr>
                <w:rFonts w:ascii="仿宋_GB2312" w:hAnsi="仿宋" w:eastAsia="仿宋_GB2312"/>
                <w:color w:val="000000" w:themeColor="text1"/>
                <w:sz w:val="24"/>
                <w:szCs w:val="24"/>
              </w:rPr>
            </w:pPr>
          </w:p>
        </w:tc>
        <w:tc>
          <w:tcPr>
            <w:tcW w:w="1219" w:type="dxa"/>
            <w:vMerge w:val="continue"/>
            <w:vAlign w:val="center"/>
          </w:tcPr>
          <w:p>
            <w:pPr>
              <w:snapToGrid w:val="0"/>
              <w:jc w:val="center"/>
              <w:rPr>
                <w:rFonts w:ascii="仿宋_GB2312" w:hAnsi="仿宋" w:eastAsia="仿宋_GB2312"/>
                <w:color w:val="000000" w:themeColor="text1"/>
                <w:sz w:val="24"/>
                <w:szCs w:val="24"/>
              </w:rPr>
            </w:pP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5.9.1.2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34</w:t>
            </w:r>
          </w:p>
        </w:tc>
        <w:tc>
          <w:tcPr>
            <w:tcW w:w="2353" w:type="dxa"/>
            <w:gridSpan w:val="4"/>
            <w:vAlign w:val="center"/>
          </w:tcPr>
          <w:p>
            <w:pPr>
              <w:snapToGrid w:val="0"/>
              <w:spacing w:line="340" w:lineRule="exact"/>
              <w:jc w:val="center"/>
              <w:rPr>
                <w:rFonts w:ascii="仿宋_GB2312" w:hAnsi="仿宋" w:eastAsia="仿宋_GB2312"/>
                <w:sz w:val="24"/>
                <w:szCs w:val="24"/>
              </w:rPr>
            </w:pPr>
            <w:r>
              <w:rPr>
                <w:rFonts w:hint="eastAsia" w:ascii="仿宋_GB2312" w:hAnsi="仿宋" w:eastAsia="仿宋_GB2312"/>
                <w:sz w:val="24"/>
                <w:szCs w:val="24"/>
              </w:rPr>
              <w:t>温度循环</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4.7.2</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5.9.2</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35</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振动</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4.7.3</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5.9.3</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36</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碰撞</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4.7.4</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5.9.4</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37</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自由跌落</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4.7.5</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5.9.5</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38</w:t>
            </w:r>
          </w:p>
        </w:tc>
        <w:tc>
          <w:tcPr>
            <w:tcW w:w="2353" w:type="dxa"/>
            <w:gridSpan w:val="4"/>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限用物质限量</w:t>
            </w:r>
          </w:p>
        </w:tc>
        <w:tc>
          <w:tcPr>
            <w:tcW w:w="246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4.8</w:t>
            </w:r>
          </w:p>
        </w:tc>
        <w:tc>
          <w:tcPr>
            <w:tcW w:w="1219" w:type="dxa"/>
            <w:vAlign w:val="center"/>
          </w:tcPr>
          <w:p>
            <w:pPr>
              <w:jc w:val="center"/>
            </w:pPr>
            <w:r>
              <w:rPr>
                <w:rFonts w:hint="eastAsia" w:ascii="仿宋_GB2312" w:hAnsi="仿宋" w:eastAsia="仿宋_GB2312"/>
                <w:color w:val="000000" w:themeColor="text1"/>
                <w:sz w:val="24"/>
                <w:szCs w:val="24"/>
              </w:rPr>
              <w:t>明示质量要求</w:t>
            </w:r>
          </w:p>
        </w:tc>
        <w:tc>
          <w:tcPr>
            <w:tcW w:w="269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GB/T 35590-2017</w:t>
            </w:r>
          </w:p>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5.10</w:t>
            </w:r>
          </w:p>
        </w:tc>
        <w:tc>
          <w:tcPr>
            <w:tcW w:w="804"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228" w:type="dxa"/>
            <w:gridSpan w:val="9"/>
            <w:vAlign w:val="center"/>
          </w:tcPr>
          <w:p>
            <w:pPr>
              <w:snapToGrid w:val="0"/>
              <w:jc w:val="left"/>
              <w:rPr>
                <w:rFonts w:ascii="仿宋_GB2312" w:hAnsi="仿宋" w:eastAsia="仿宋_GB2312"/>
                <w:color w:val="000000" w:themeColor="text1"/>
                <w:sz w:val="24"/>
              </w:rPr>
            </w:pPr>
            <w:r>
              <w:rPr>
                <w:rFonts w:hint="eastAsia" w:ascii="仿宋_GB2312" w:hAnsi="仿宋" w:eastAsia="仿宋_GB2312"/>
                <w:color w:val="000000" w:themeColor="text1"/>
                <w:sz w:val="24"/>
              </w:rPr>
              <w:t>注1：项目已被《电器电子产品有害物质限制使用管理办法》里所引用，属强制性要求。</w:t>
            </w:r>
          </w:p>
          <w:p>
            <w:pPr>
              <w:snapToGrid w:val="0"/>
              <w:jc w:val="left"/>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注2：有害物质包含:铅、镉、汞、六价铬、多溴联苯、多溴二苯醚，其含量选择备用样品进行复检。</w:t>
            </w:r>
          </w:p>
          <w:p>
            <w:pPr>
              <w:snapToGrid w:val="0"/>
              <w:jc w:val="left"/>
              <w:rPr>
                <w:rFonts w:ascii="仿宋_GB2312" w:hAnsi="仿宋" w:eastAsia="仿宋_GB2312"/>
                <w:color w:val="000000" w:themeColor="text1"/>
                <w:sz w:val="24"/>
              </w:rPr>
            </w:pPr>
            <w:r>
              <w:rPr>
                <w:rFonts w:hint="eastAsia" w:ascii="仿宋_GB2312" w:hAnsi="仿宋" w:eastAsia="仿宋_GB2312"/>
                <w:color w:val="000000" w:themeColor="text1"/>
                <w:sz w:val="24"/>
              </w:rPr>
              <w:t>注3：项目仅适用于交流供电的移动电源产品。</w:t>
            </w:r>
          </w:p>
          <w:p>
            <w:pPr>
              <w:snapToGrid w:val="0"/>
              <w:jc w:val="left"/>
              <w:rPr>
                <w:rFonts w:ascii="仿宋_GB2312" w:hAnsi="仿宋" w:eastAsia="仿宋_GB2312"/>
                <w:color w:val="000000" w:themeColor="text1"/>
                <w:sz w:val="24"/>
              </w:rPr>
            </w:pPr>
            <w:r>
              <w:rPr>
                <w:rFonts w:hint="eastAsia" w:ascii="仿宋_GB2312" w:hAnsi="仿宋" w:eastAsia="仿宋_GB2312"/>
                <w:color w:val="000000" w:themeColor="text1"/>
                <w:sz w:val="24"/>
              </w:rPr>
              <w:t>注4：</w:t>
            </w:r>
            <w:r>
              <w:rPr>
                <w:rFonts w:hint="eastAsia" w:ascii="仿宋_GB2312" w:hAnsi="仿宋" w:eastAsia="仿宋_GB2312"/>
                <w:sz w:val="24"/>
                <w:szCs w:val="24"/>
              </w:rPr>
              <w:t>序号7-38仅适用于明示执行GB/T 35590-2017的移动电源产品。</w:t>
            </w:r>
          </w:p>
        </w:tc>
      </w:tr>
    </w:tbl>
    <w:p>
      <w:pPr>
        <w:snapToGrid w:val="0"/>
        <w:spacing w:line="440" w:lineRule="exact"/>
        <w:ind w:firstLine="560" w:firstLineChars="200"/>
        <w:jc w:val="center"/>
        <w:rPr>
          <w:rFonts w:ascii="黑体" w:hAnsi="黑体" w:eastAsia="黑体"/>
          <w:color w:val="000000" w:themeColor="text1"/>
          <w:sz w:val="28"/>
          <w:szCs w:val="28"/>
        </w:rPr>
      </w:pPr>
      <w:r>
        <w:rPr>
          <w:rFonts w:hint="eastAsia" w:ascii="黑体" w:hAnsi="黑体" w:eastAsia="黑体" w:cs="Times New Roman"/>
          <w:sz w:val="28"/>
          <w:szCs w:val="28"/>
        </w:rPr>
        <w:t>表5</w:t>
      </w:r>
      <w:r>
        <w:rPr>
          <w:rFonts w:hint="eastAsia" w:ascii="黑体" w:hAnsi="黑体" w:eastAsia="黑体"/>
          <w:color w:val="000000" w:themeColor="text1"/>
          <w:sz w:val="28"/>
          <w:szCs w:val="28"/>
        </w:rPr>
        <w:t xml:space="preserve"> 移动电源用电池</w:t>
      </w:r>
      <w:r>
        <w:rPr>
          <w:rFonts w:ascii="黑体" w:hAnsi="黑体" w:eastAsia="黑体"/>
          <w:color w:val="000000" w:themeColor="text1"/>
          <w:sz w:val="28"/>
          <w:szCs w:val="28"/>
        </w:rPr>
        <w:t>检测</w:t>
      </w:r>
      <w:r>
        <w:rPr>
          <w:rFonts w:hint="eastAsia" w:ascii="黑体" w:hAnsi="黑体" w:eastAsia="黑体"/>
          <w:color w:val="000000" w:themeColor="text1"/>
          <w:sz w:val="28"/>
          <w:szCs w:val="28"/>
        </w:rPr>
        <w:t>项目</w:t>
      </w:r>
    </w:p>
    <w:tbl>
      <w:tblPr>
        <w:tblStyle w:val="18"/>
        <w:tblW w:w="10266" w:type="dxa"/>
        <w:jc w:val="center"/>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77"/>
        <w:gridCol w:w="2410"/>
        <w:gridCol w:w="1275"/>
        <w:gridCol w:w="2572"/>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09"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序号</w:t>
            </w:r>
          </w:p>
        </w:tc>
        <w:tc>
          <w:tcPr>
            <w:tcW w:w="2477" w:type="dxa"/>
            <w:vAlign w:val="center"/>
          </w:tcPr>
          <w:p>
            <w:pPr>
              <w:snapToGrid w:val="0"/>
              <w:jc w:val="center"/>
              <w:rPr>
                <w:rFonts w:ascii="黑体" w:hAnsi="黑体" w:eastAsia="黑体" w:cs="Times New Roman"/>
                <w:sz w:val="24"/>
                <w:szCs w:val="24"/>
                <w:vertAlign w:val="superscript"/>
              </w:rPr>
            </w:pPr>
            <w:r>
              <w:rPr>
                <w:rFonts w:hint="eastAsia" w:ascii="黑体" w:hAnsi="黑体" w:eastAsia="黑体" w:cs="Times New Roman"/>
                <w:sz w:val="24"/>
                <w:szCs w:val="24"/>
              </w:rPr>
              <w:t>检验项目</w:t>
            </w:r>
            <w:r>
              <w:rPr>
                <w:rFonts w:hint="eastAsia" w:ascii="黑体" w:hAnsi="黑体" w:eastAsia="黑体" w:cs="Times New Roman"/>
                <w:sz w:val="24"/>
                <w:szCs w:val="24"/>
                <w:vertAlign w:val="superscript"/>
              </w:rPr>
              <w:t>1</w:t>
            </w:r>
          </w:p>
        </w:tc>
        <w:tc>
          <w:tcPr>
            <w:tcW w:w="2410"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检测依据</w:t>
            </w:r>
          </w:p>
        </w:tc>
        <w:tc>
          <w:tcPr>
            <w:tcW w:w="127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项目性质</w:t>
            </w:r>
          </w:p>
        </w:tc>
        <w:tc>
          <w:tcPr>
            <w:tcW w:w="2572"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检测方法</w:t>
            </w:r>
          </w:p>
        </w:tc>
        <w:tc>
          <w:tcPr>
            <w:tcW w:w="82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*整机电池容量测试</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31241-20144.7.3</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31241-20144.7.3</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2</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*安全工作参数</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31241-20145.2</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31241-20145.2</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3</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标识要求</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31241-20145.3.1</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31241-20145.3.1</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4</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警示说明</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 5.3.2</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31241-20145.3.2</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5</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耐久性</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31241-20145.3.3</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31241-20145.3.3</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6</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常温外部短路</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31241-20146.1</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31241-20146.1</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7</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高温外部短路</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31241-20146.2</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 6.2</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8</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*过充电</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31241-20146.3</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31241-20146.3</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9</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*强制放电</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31241-20146.4</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31241-20146.4</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10</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低气压</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31241-20147.1</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31241-20147.1</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11</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温度循环</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31241-20147.2</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31241-20147.2</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12</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振动</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31241-20147.3</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31241-20147.3</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13</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加速度冲击</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31241-20147.4</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31241-20147.4</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14</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跌落</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31241-20147.5</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31241-20147.5</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15</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挤压</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31241-20147.6</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31241-20147.6</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16</w:t>
            </w:r>
          </w:p>
        </w:tc>
        <w:tc>
          <w:tcPr>
            <w:tcW w:w="2477" w:type="dxa"/>
            <w:vAlign w:val="center"/>
          </w:tcPr>
          <w:p>
            <w:pPr>
              <w:snapToGrid w:val="0"/>
              <w:spacing w:line="340" w:lineRule="exact"/>
              <w:jc w:val="center"/>
              <w:rPr>
                <w:rFonts w:ascii="仿宋_GB2312" w:hAnsi="仿宋" w:eastAsia="仿宋_GB2312"/>
                <w:color w:val="000000" w:themeColor="text1"/>
                <w:sz w:val="24"/>
                <w:szCs w:val="24"/>
                <w:vertAlign w:val="superscript"/>
              </w:rPr>
            </w:pPr>
            <w:r>
              <w:rPr>
                <w:rFonts w:hint="eastAsia" w:ascii="仿宋_GB2312" w:hAnsi="仿宋" w:eastAsia="仿宋_GB2312"/>
                <w:color w:val="000000" w:themeColor="text1"/>
                <w:sz w:val="24"/>
                <w:szCs w:val="24"/>
              </w:rPr>
              <w:t>重物冲击</w:t>
            </w:r>
            <w:r>
              <w:rPr>
                <w:rFonts w:hint="eastAsia" w:ascii="仿宋_GB2312" w:hAnsi="仿宋" w:eastAsia="仿宋_GB2312"/>
                <w:color w:val="000000" w:themeColor="text1"/>
                <w:sz w:val="24"/>
                <w:szCs w:val="24"/>
                <w:vertAlign w:val="superscript"/>
              </w:rPr>
              <w:t>2</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31241-20147.7</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31241-20147.7</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17</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热滥用</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31241-20147.8</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31241-20147.8</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09"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18</w:t>
            </w:r>
          </w:p>
        </w:tc>
        <w:tc>
          <w:tcPr>
            <w:tcW w:w="2477"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燃烧喷射</w:t>
            </w:r>
          </w:p>
        </w:tc>
        <w:tc>
          <w:tcPr>
            <w:tcW w:w="2410"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31241-20147.9</w:t>
            </w:r>
          </w:p>
        </w:tc>
        <w:tc>
          <w:tcPr>
            <w:tcW w:w="1275"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强制性</w:t>
            </w:r>
          </w:p>
        </w:tc>
        <w:tc>
          <w:tcPr>
            <w:tcW w:w="2572"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GB 31241-20147.9</w:t>
            </w:r>
          </w:p>
        </w:tc>
        <w:tc>
          <w:tcPr>
            <w:tcW w:w="823" w:type="dxa"/>
            <w:vAlign w:val="center"/>
          </w:tcPr>
          <w:p>
            <w:pPr>
              <w:snapToGrid w:val="0"/>
              <w:spacing w:line="340" w:lineRule="exact"/>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266" w:type="dxa"/>
            <w:gridSpan w:val="6"/>
            <w:vAlign w:val="center"/>
          </w:tcPr>
          <w:p>
            <w:pPr>
              <w:snapToGrid w:val="0"/>
              <w:spacing w:line="340" w:lineRule="exac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注1：带“*”的项目需要厂商提供“安全工作参数”方可检测。</w:t>
            </w:r>
          </w:p>
          <w:p>
            <w:pPr>
              <w:snapToGrid w:val="0"/>
              <w:spacing w:line="340" w:lineRule="exact"/>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注2：“重物冲击”项目不适用于软包电池。</w:t>
            </w:r>
          </w:p>
        </w:tc>
      </w:tr>
    </w:tbl>
    <w:p>
      <w:pPr>
        <w:snapToGrid w:val="0"/>
        <w:spacing w:line="360" w:lineRule="auto"/>
        <w:rPr>
          <w:rFonts w:ascii="仿宋_GB2312" w:hAnsi="宋体" w:eastAsia="仿宋_GB2312" w:cs="Times New Roman"/>
          <w:b/>
          <w:color w:val="000000" w:themeColor="text1"/>
          <w:sz w:val="28"/>
          <w:szCs w:val="28"/>
        </w:rPr>
      </w:pPr>
      <w:r>
        <w:rPr>
          <w:rFonts w:hint="eastAsia" w:ascii="仿宋_GB2312" w:hAnsi="Times New Roman" w:eastAsia="仿宋_GB2312" w:cs="Sim Sun"/>
          <w:b/>
          <w:color w:val="000000" w:themeColor="text1"/>
          <w:kern w:val="0"/>
          <w:sz w:val="28"/>
          <w:szCs w:val="28"/>
        </w:rPr>
        <w:t>6.2 检验应注意的问题</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Times New Roman" w:eastAsia="仿宋_GB2312" w:cs="Sim Sun"/>
          <w:b/>
          <w:color w:val="000000" w:themeColor="text1"/>
          <w:kern w:val="0"/>
          <w:sz w:val="28"/>
          <w:szCs w:val="28"/>
        </w:rPr>
        <w:t>6.2.1</w:t>
      </w:r>
      <w:r>
        <w:rPr>
          <w:rFonts w:hint="eastAsia" w:ascii="仿宋_GB2312" w:hAnsi="Times New Roman" w:eastAsia="仿宋_GB2312" w:cs="Sim Sun"/>
          <w:color w:val="000000" w:themeColor="text1"/>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color w:val="000000" w:themeColor="text1"/>
          <w:sz w:val="28"/>
          <w:szCs w:val="28"/>
        </w:rPr>
        <w:t>备用</w:t>
      </w:r>
      <w:r>
        <w:rPr>
          <w:rFonts w:hint="eastAsia" w:ascii="仿宋_GB2312" w:hAnsi="宋体" w:eastAsia="仿宋_GB2312" w:cs="Times New Roman"/>
          <w:iCs/>
          <w:color w:val="000000" w:themeColor="text1"/>
          <w:sz w:val="28"/>
          <w:szCs w:val="28"/>
        </w:rPr>
        <w:t>样品应该贮存在阴凉、干燥、安全、避光处，在整个保存期间应保证签封完整无损。</w:t>
      </w:r>
    </w:p>
    <w:p>
      <w:pPr>
        <w:snapToGrid w:val="0"/>
        <w:spacing w:line="360" w:lineRule="auto"/>
        <w:rPr>
          <w:rFonts w:ascii="仿宋_GB2312" w:hAnsi="Times New Roman" w:eastAsia="仿宋_GB2312" w:cs="Times New Roman"/>
          <w:color w:val="000000" w:themeColor="text1"/>
          <w:sz w:val="28"/>
          <w:szCs w:val="28"/>
        </w:rPr>
      </w:pPr>
      <w:r>
        <w:rPr>
          <w:rFonts w:hint="eastAsia" w:ascii="仿宋_GB2312" w:hAnsi="Times New Roman" w:eastAsia="仿宋_GB2312" w:cs="Times New Roman"/>
          <w:b/>
          <w:color w:val="000000" w:themeColor="text1"/>
          <w:sz w:val="28"/>
          <w:szCs w:val="28"/>
        </w:rPr>
        <w:t>6.2.2</w:t>
      </w:r>
      <w:r>
        <w:rPr>
          <w:rFonts w:hint="eastAsia" w:ascii="仿宋_GB2312" w:hAnsi="Times New Roman" w:eastAsia="仿宋_GB2312" w:cs="Times New Roman"/>
          <w:color w:val="000000" w:themeColor="text1"/>
          <w:sz w:val="28"/>
          <w:szCs w:val="28"/>
        </w:rPr>
        <w:t>若被检产品明示的质量要求高于或包含本规范中检验项目依据的标准要求时，应按被检产品明示的质量要求判定。</w:t>
      </w:r>
    </w:p>
    <w:p>
      <w:pPr>
        <w:snapToGrid w:val="0"/>
        <w:spacing w:line="360" w:lineRule="auto"/>
        <w:rPr>
          <w:rFonts w:ascii="仿宋_GB2312" w:hAnsi="Times New Roman" w:eastAsia="仿宋_GB2312" w:cs="Times New Roman"/>
          <w:color w:val="000000" w:themeColor="text1"/>
          <w:sz w:val="28"/>
          <w:szCs w:val="28"/>
        </w:rPr>
      </w:pPr>
      <w:r>
        <w:rPr>
          <w:rFonts w:hint="eastAsia" w:ascii="仿宋_GB2312" w:hAnsi="Times New Roman" w:eastAsia="仿宋_GB2312" w:cs="Times New Roman"/>
          <w:b/>
          <w:color w:val="000000" w:themeColor="text1"/>
          <w:sz w:val="28"/>
          <w:szCs w:val="28"/>
        </w:rPr>
        <w:t>6.2.3</w:t>
      </w:r>
      <w:r>
        <w:rPr>
          <w:rFonts w:hint="eastAsia" w:ascii="仿宋_GB2312" w:hAnsi="Times New Roman" w:eastAsia="仿宋_GB2312" w:cs="Times New Roman"/>
          <w:color w:val="000000" w:themeColor="text1"/>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Times New Roman" w:eastAsia="仿宋_GB2312" w:cs="Sim Sun"/>
          <w:b/>
          <w:color w:val="000000" w:themeColor="text1"/>
          <w:kern w:val="0"/>
          <w:sz w:val="28"/>
          <w:szCs w:val="28"/>
        </w:rPr>
      </w:pPr>
      <w:r>
        <w:rPr>
          <w:rFonts w:hint="eastAsia" w:ascii="仿宋_GB2312" w:hAnsi="Times New Roman" w:eastAsia="仿宋_GB2312" w:cs="Sim Sun"/>
          <w:b/>
          <w:color w:val="000000" w:themeColor="text1"/>
          <w:kern w:val="0"/>
          <w:sz w:val="28"/>
          <w:szCs w:val="28"/>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Times New Roman" w:eastAsia="仿宋_GB2312" w:cs="Sim Sun"/>
          <w:b/>
          <w:color w:val="000000" w:themeColor="text1"/>
          <w:kern w:val="0"/>
          <w:sz w:val="28"/>
          <w:szCs w:val="28"/>
        </w:rPr>
      </w:pPr>
      <w:r>
        <w:rPr>
          <w:rFonts w:hint="eastAsia" w:ascii="仿宋_GB2312" w:hAnsi="Times New Roman" w:eastAsia="仿宋_GB2312" w:cs="Sim Sun"/>
          <w:b/>
          <w:color w:val="000000" w:themeColor="text1"/>
          <w:kern w:val="0"/>
          <w:sz w:val="28"/>
          <w:szCs w:val="28"/>
        </w:rPr>
        <w:t>8 异议处理复检</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宋体" w:eastAsia="仿宋_GB2312" w:cs="Times New Roman"/>
          <w:b/>
          <w:iCs/>
          <w:color w:val="000000" w:themeColor="text1"/>
          <w:sz w:val="28"/>
          <w:szCs w:val="28"/>
        </w:rPr>
        <w:t>8.1</w:t>
      </w:r>
      <w:r>
        <w:rPr>
          <w:rFonts w:hint="eastAsia" w:ascii="仿宋_GB2312" w:hAnsi="宋体" w:eastAsia="仿宋_GB2312" w:cs="Times New Roman"/>
          <w:iCs/>
          <w:color w:val="000000" w:themeColor="text1"/>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宋体" w:eastAsia="仿宋_GB2312" w:cs="Times New Roman"/>
          <w:b/>
          <w:iCs/>
          <w:color w:val="000000" w:themeColor="text1"/>
          <w:sz w:val="28"/>
          <w:szCs w:val="28"/>
        </w:rPr>
        <w:t>8.2</w:t>
      </w:r>
      <w:r>
        <w:rPr>
          <w:rFonts w:hint="eastAsia" w:ascii="仿宋_GB2312" w:hAnsi="宋体" w:eastAsia="仿宋_GB2312" w:cs="Times New Roman"/>
          <w:iCs/>
          <w:color w:val="000000" w:themeColor="text1"/>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宋体" w:eastAsia="仿宋_GB2312" w:cs="Times New Roman"/>
          <w:b/>
          <w:iCs/>
          <w:color w:val="000000" w:themeColor="text1"/>
          <w:sz w:val="28"/>
          <w:szCs w:val="28"/>
        </w:rPr>
        <w:t>8.3</w:t>
      </w:r>
      <w:r>
        <w:rPr>
          <w:rFonts w:hint="eastAsia" w:ascii="仿宋_GB2312" w:hAnsi="宋体" w:eastAsia="仿宋_GB2312" w:cs="Times New Roman"/>
          <w:iCs/>
          <w:color w:val="000000" w:themeColor="text1"/>
          <w:sz w:val="28"/>
          <w:szCs w:val="28"/>
        </w:rPr>
        <w:t xml:space="preserve"> 复检检验人员与初检检验人员不得为同一人。</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宋体" w:eastAsia="仿宋_GB2312" w:cs="Times New Roman"/>
          <w:b/>
          <w:iCs/>
          <w:color w:val="000000" w:themeColor="text1"/>
          <w:sz w:val="28"/>
          <w:szCs w:val="28"/>
        </w:rPr>
        <w:t>8.4</w:t>
      </w:r>
      <w:r>
        <w:rPr>
          <w:rFonts w:hint="eastAsia" w:ascii="仿宋_GB2312" w:hAnsi="宋体" w:eastAsia="仿宋_GB2312" w:cs="Times New Roman"/>
          <w:iCs/>
          <w:color w:val="000000" w:themeColor="text1"/>
          <w:sz w:val="28"/>
          <w:szCs w:val="28"/>
        </w:rPr>
        <w:t>需对不合格项目复检时，按6.1选择复检样品。当复检结果仍不合格，维持原检验结果不变。当复检结果合格，以复检结果为准。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ascii="仿宋_GB2312" w:eastAsia="仿宋_GB2312" w:cs="Sim Sun"/>
          <w:kern w:val="0"/>
          <w:sz w:val="28"/>
          <w:szCs w:val="28"/>
        </w:rPr>
        <w:t>采用备样复验时，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hAnsi="宋体" w:eastAsia="仿宋_GB2312" w:cs="Times New Roman"/>
          <w:iCs/>
          <w:color w:val="000000" w:themeColor="text1"/>
          <w:sz w:val="28"/>
          <w:szCs w:val="28"/>
        </w:rPr>
      </w:pPr>
      <w:r>
        <w:rPr>
          <w:rFonts w:hint="eastAsia" w:ascii="仿宋_GB2312" w:hAnsi="宋体" w:eastAsia="仿宋_GB2312" w:cs="Times New Roman"/>
          <w:b/>
          <w:iCs/>
          <w:color w:val="000000" w:themeColor="text1"/>
          <w:sz w:val="28"/>
          <w:szCs w:val="28"/>
        </w:rPr>
        <w:t>8.6</w:t>
      </w:r>
      <w:r>
        <w:rPr>
          <w:rFonts w:hint="eastAsia" w:ascii="仿宋_GB2312" w:hAnsi="宋体" w:eastAsia="仿宋_GB2312" w:cs="Times New Roman"/>
          <w:iCs/>
          <w:color w:val="000000" w:themeColor="text1"/>
          <w:sz w:val="28"/>
          <w:szCs w:val="28"/>
        </w:rPr>
        <w:t xml:space="preserve"> 深圳市市场监督管理局根据初检、复检结果及企业提交的证明材料，做出复检结论，复检结论为最终结论。</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9 附则</w:t>
      </w:r>
    </w:p>
    <w:p>
      <w:pPr>
        <w:snapToGrid w:val="0"/>
        <w:spacing w:line="360" w:lineRule="auto"/>
        <w:ind w:firstLine="560" w:firstLineChars="200"/>
        <w:rPr>
          <w:rFonts w:ascii="仿宋_GB2312" w:hAnsi="宋体" w:eastAsia="仿宋_GB2312" w:cs="Times New Roman"/>
          <w:iCs/>
          <w:color w:val="000000" w:themeColor="text1"/>
          <w:sz w:val="28"/>
          <w:szCs w:val="28"/>
        </w:rPr>
      </w:pPr>
      <w:r>
        <w:rPr>
          <w:rFonts w:hint="eastAsia" w:ascii="仿宋_GB2312" w:hAnsi="宋体" w:eastAsia="仿宋_GB2312" w:cs="Times New Roman"/>
          <w:iCs/>
          <w:color w:val="000000" w:themeColor="text1"/>
          <w:sz w:val="28"/>
          <w:szCs w:val="28"/>
        </w:rPr>
        <w:t>本规范编制单位：深圳市计量质量检测研究院。</w:t>
      </w:r>
    </w:p>
    <w:p>
      <w:pPr>
        <w:snapToGrid w:val="0"/>
        <w:spacing w:line="360" w:lineRule="auto"/>
        <w:ind w:firstLine="560" w:firstLineChars="200"/>
        <w:rPr>
          <w:rFonts w:ascii="仿宋_GB2312" w:hAnsi="宋体" w:eastAsia="仿宋_GB2312" w:cs="Times New Roman"/>
          <w:iCs/>
          <w:color w:val="000000" w:themeColor="text1"/>
          <w:sz w:val="28"/>
          <w:szCs w:val="28"/>
        </w:rPr>
      </w:pPr>
      <w:r>
        <w:rPr>
          <w:rFonts w:hint="eastAsia" w:ascii="仿宋_GB2312" w:hAnsi="宋体" w:eastAsia="仿宋_GB2312" w:cs="Times New Roman"/>
          <w:iCs/>
          <w:color w:val="000000" w:themeColor="text1"/>
          <w:sz w:val="28"/>
          <w:szCs w:val="28"/>
        </w:rPr>
        <w:t>本规范由深圳市市场监督管理局质量处管理。</w:t>
      </w:r>
    </w:p>
    <w:p>
      <w:pPr>
        <w:snapToGrid w:val="0"/>
        <w:spacing w:line="360" w:lineRule="auto"/>
        <w:ind w:firstLine="560" w:firstLineChars="200"/>
        <w:rPr>
          <w:rFonts w:ascii="仿宋_GB2312" w:hAnsi="宋体" w:eastAsia="仿宋_GB2312" w:cs="Times New Roman"/>
          <w:iCs/>
          <w:color w:val="000000" w:themeColor="text1"/>
          <w:sz w:val="28"/>
          <w:szCs w:val="28"/>
        </w:rPr>
      </w:pPr>
    </w:p>
    <w:p>
      <w:pPr>
        <w:snapToGrid w:val="0"/>
        <w:spacing w:line="360" w:lineRule="auto"/>
        <w:rPr>
          <w:rFonts w:ascii="仿宋_GB2312" w:hAnsi="宋体" w:eastAsia="仿宋_GB2312" w:cs="Times New Roman"/>
          <w:iCs/>
          <w:color w:val="000000" w:themeColor="text1"/>
          <w:sz w:val="28"/>
          <w:szCs w:val="28"/>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pPr>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仿宋_GB2312"/>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1365"/>
    <w:rsid w:val="00006671"/>
    <w:rsid w:val="00015274"/>
    <w:rsid w:val="000161EC"/>
    <w:rsid w:val="0001669E"/>
    <w:rsid w:val="0002697B"/>
    <w:rsid w:val="00034D29"/>
    <w:rsid w:val="00045AEC"/>
    <w:rsid w:val="00050AB0"/>
    <w:rsid w:val="0007464A"/>
    <w:rsid w:val="00081B9C"/>
    <w:rsid w:val="00090C5B"/>
    <w:rsid w:val="00091B93"/>
    <w:rsid w:val="000B5FF8"/>
    <w:rsid w:val="000C1E52"/>
    <w:rsid w:val="000C351E"/>
    <w:rsid w:val="000C47C2"/>
    <w:rsid w:val="000C70DD"/>
    <w:rsid w:val="000D1C1A"/>
    <w:rsid w:val="000D2AE8"/>
    <w:rsid w:val="000E5A2B"/>
    <w:rsid w:val="000F0384"/>
    <w:rsid w:val="000F3F20"/>
    <w:rsid w:val="000F73A3"/>
    <w:rsid w:val="00110B26"/>
    <w:rsid w:val="00124806"/>
    <w:rsid w:val="00127596"/>
    <w:rsid w:val="001331CD"/>
    <w:rsid w:val="001433B7"/>
    <w:rsid w:val="001467A0"/>
    <w:rsid w:val="001518DC"/>
    <w:rsid w:val="00154E55"/>
    <w:rsid w:val="00156112"/>
    <w:rsid w:val="001576F4"/>
    <w:rsid w:val="00160393"/>
    <w:rsid w:val="00185304"/>
    <w:rsid w:val="001A15D5"/>
    <w:rsid w:val="001A4C46"/>
    <w:rsid w:val="001A7241"/>
    <w:rsid w:val="001B0401"/>
    <w:rsid w:val="001B1B68"/>
    <w:rsid w:val="001C7D5A"/>
    <w:rsid w:val="001D5AB7"/>
    <w:rsid w:val="001E3973"/>
    <w:rsid w:val="001E5A4B"/>
    <w:rsid w:val="001F264F"/>
    <w:rsid w:val="001F5E9F"/>
    <w:rsid w:val="00200636"/>
    <w:rsid w:val="00203F3A"/>
    <w:rsid w:val="002074B4"/>
    <w:rsid w:val="002229B7"/>
    <w:rsid w:val="00223430"/>
    <w:rsid w:val="002362CE"/>
    <w:rsid w:val="00240CD9"/>
    <w:rsid w:val="002445BF"/>
    <w:rsid w:val="0024595B"/>
    <w:rsid w:val="00245EBE"/>
    <w:rsid w:val="0024651F"/>
    <w:rsid w:val="0025421B"/>
    <w:rsid w:val="0026272E"/>
    <w:rsid w:val="00266F51"/>
    <w:rsid w:val="00267E0A"/>
    <w:rsid w:val="00267FCE"/>
    <w:rsid w:val="00273055"/>
    <w:rsid w:val="00274ED9"/>
    <w:rsid w:val="0028178E"/>
    <w:rsid w:val="00294D7E"/>
    <w:rsid w:val="0029505D"/>
    <w:rsid w:val="002A6E94"/>
    <w:rsid w:val="002A7616"/>
    <w:rsid w:val="002B3AFD"/>
    <w:rsid w:val="002B46EB"/>
    <w:rsid w:val="002C0360"/>
    <w:rsid w:val="002C2409"/>
    <w:rsid w:val="002D05CE"/>
    <w:rsid w:val="002D0C47"/>
    <w:rsid w:val="002D6BCD"/>
    <w:rsid w:val="002E0FBF"/>
    <w:rsid w:val="002F6C98"/>
    <w:rsid w:val="002F6CF7"/>
    <w:rsid w:val="003110CC"/>
    <w:rsid w:val="0031352C"/>
    <w:rsid w:val="00321676"/>
    <w:rsid w:val="00327A52"/>
    <w:rsid w:val="003575D8"/>
    <w:rsid w:val="00362435"/>
    <w:rsid w:val="0036357D"/>
    <w:rsid w:val="003712A9"/>
    <w:rsid w:val="003725E7"/>
    <w:rsid w:val="00393289"/>
    <w:rsid w:val="00397D8B"/>
    <w:rsid w:val="003A035B"/>
    <w:rsid w:val="003B15B6"/>
    <w:rsid w:val="003B44EF"/>
    <w:rsid w:val="003B691E"/>
    <w:rsid w:val="003B71A1"/>
    <w:rsid w:val="003E0940"/>
    <w:rsid w:val="003F622D"/>
    <w:rsid w:val="003F7A1A"/>
    <w:rsid w:val="00410C71"/>
    <w:rsid w:val="004144CB"/>
    <w:rsid w:val="004172EB"/>
    <w:rsid w:val="00420696"/>
    <w:rsid w:val="00421248"/>
    <w:rsid w:val="00423D07"/>
    <w:rsid w:val="004315F7"/>
    <w:rsid w:val="00440B3B"/>
    <w:rsid w:val="00441B0F"/>
    <w:rsid w:val="00442803"/>
    <w:rsid w:val="00446BC9"/>
    <w:rsid w:val="00451A9C"/>
    <w:rsid w:val="00451F77"/>
    <w:rsid w:val="004524CC"/>
    <w:rsid w:val="00455F50"/>
    <w:rsid w:val="00457393"/>
    <w:rsid w:val="00457A6F"/>
    <w:rsid w:val="00470F54"/>
    <w:rsid w:val="00471ECE"/>
    <w:rsid w:val="00483664"/>
    <w:rsid w:val="004864E2"/>
    <w:rsid w:val="004915EC"/>
    <w:rsid w:val="00492F14"/>
    <w:rsid w:val="0049380F"/>
    <w:rsid w:val="00494B80"/>
    <w:rsid w:val="00496415"/>
    <w:rsid w:val="004A0F75"/>
    <w:rsid w:val="004A171F"/>
    <w:rsid w:val="004B25B6"/>
    <w:rsid w:val="004B58EF"/>
    <w:rsid w:val="004C1334"/>
    <w:rsid w:val="004C6F06"/>
    <w:rsid w:val="004C7045"/>
    <w:rsid w:val="004D4FAB"/>
    <w:rsid w:val="004E7D91"/>
    <w:rsid w:val="004F006D"/>
    <w:rsid w:val="004F7944"/>
    <w:rsid w:val="00521461"/>
    <w:rsid w:val="00530A70"/>
    <w:rsid w:val="00532359"/>
    <w:rsid w:val="00534C07"/>
    <w:rsid w:val="00537370"/>
    <w:rsid w:val="0054163B"/>
    <w:rsid w:val="00544B94"/>
    <w:rsid w:val="00545A12"/>
    <w:rsid w:val="00550CE0"/>
    <w:rsid w:val="005823AD"/>
    <w:rsid w:val="005A4BE2"/>
    <w:rsid w:val="005A5AC8"/>
    <w:rsid w:val="005B31B5"/>
    <w:rsid w:val="005B5F0A"/>
    <w:rsid w:val="005C04B4"/>
    <w:rsid w:val="005D0ECC"/>
    <w:rsid w:val="005D4455"/>
    <w:rsid w:val="005D54BD"/>
    <w:rsid w:val="005D63AE"/>
    <w:rsid w:val="005E0D76"/>
    <w:rsid w:val="005E6617"/>
    <w:rsid w:val="00600EC3"/>
    <w:rsid w:val="006104F3"/>
    <w:rsid w:val="00621BAB"/>
    <w:rsid w:val="006301C6"/>
    <w:rsid w:val="0064096C"/>
    <w:rsid w:val="0064231E"/>
    <w:rsid w:val="0064613E"/>
    <w:rsid w:val="0064797C"/>
    <w:rsid w:val="00650151"/>
    <w:rsid w:val="006575FA"/>
    <w:rsid w:val="00663CD2"/>
    <w:rsid w:val="0066561D"/>
    <w:rsid w:val="00667CBF"/>
    <w:rsid w:val="00673FC5"/>
    <w:rsid w:val="006753A0"/>
    <w:rsid w:val="00675AF7"/>
    <w:rsid w:val="00676352"/>
    <w:rsid w:val="00676815"/>
    <w:rsid w:val="00682D67"/>
    <w:rsid w:val="00686984"/>
    <w:rsid w:val="00691A86"/>
    <w:rsid w:val="00694207"/>
    <w:rsid w:val="00694970"/>
    <w:rsid w:val="006B4901"/>
    <w:rsid w:val="006C3325"/>
    <w:rsid w:val="006E1357"/>
    <w:rsid w:val="006F0A56"/>
    <w:rsid w:val="006F2477"/>
    <w:rsid w:val="006F6712"/>
    <w:rsid w:val="007025A9"/>
    <w:rsid w:val="00705600"/>
    <w:rsid w:val="007175F2"/>
    <w:rsid w:val="00717748"/>
    <w:rsid w:val="00722069"/>
    <w:rsid w:val="00757BD9"/>
    <w:rsid w:val="0076203D"/>
    <w:rsid w:val="00771FB9"/>
    <w:rsid w:val="00776E2E"/>
    <w:rsid w:val="00777CE5"/>
    <w:rsid w:val="0078055F"/>
    <w:rsid w:val="007A2B6E"/>
    <w:rsid w:val="007A5D58"/>
    <w:rsid w:val="007A6158"/>
    <w:rsid w:val="007B513C"/>
    <w:rsid w:val="007B705B"/>
    <w:rsid w:val="007B79D6"/>
    <w:rsid w:val="007C0F87"/>
    <w:rsid w:val="007C3FA2"/>
    <w:rsid w:val="007E73C0"/>
    <w:rsid w:val="007E79D8"/>
    <w:rsid w:val="007F0E36"/>
    <w:rsid w:val="007F671E"/>
    <w:rsid w:val="008042B7"/>
    <w:rsid w:val="00806F06"/>
    <w:rsid w:val="0081029B"/>
    <w:rsid w:val="008102B2"/>
    <w:rsid w:val="00810492"/>
    <w:rsid w:val="00811826"/>
    <w:rsid w:val="00815DF0"/>
    <w:rsid w:val="00816F52"/>
    <w:rsid w:val="00817082"/>
    <w:rsid w:val="008270C2"/>
    <w:rsid w:val="00827A27"/>
    <w:rsid w:val="0083011C"/>
    <w:rsid w:val="00842D30"/>
    <w:rsid w:val="00845C8F"/>
    <w:rsid w:val="00850C25"/>
    <w:rsid w:val="0085798F"/>
    <w:rsid w:val="00864A08"/>
    <w:rsid w:val="0086514B"/>
    <w:rsid w:val="00866E1E"/>
    <w:rsid w:val="0087352D"/>
    <w:rsid w:val="00873F28"/>
    <w:rsid w:val="00886BC3"/>
    <w:rsid w:val="0089623D"/>
    <w:rsid w:val="008A1AB2"/>
    <w:rsid w:val="008B0338"/>
    <w:rsid w:val="008B2930"/>
    <w:rsid w:val="008B579D"/>
    <w:rsid w:val="008C3983"/>
    <w:rsid w:val="008C52BA"/>
    <w:rsid w:val="008C571F"/>
    <w:rsid w:val="008E3D78"/>
    <w:rsid w:val="008E5127"/>
    <w:rsid w:val="008F05BB"/>
    <w:rsid w:val="008F0BC9"/>
    <w:rsid w:val="008F17B7"/>
    <w:rsid w:val="00901ADD"/>
    <w:rsid w:val="00904E14"/>
    <w:rsid w:val="0090621B"/>
    <w:rsid w:val="00907039"/>
    <w:rsid w:val="00917DB8"/>
    <w:rsid w:val="00920608"/>
    <w:rsid w:val="00925932"/>
    <w:rsid w:val="00955717"/>
    <w:rsid w:val="00956230"/>
    <w:rsid w:val="00957735"/>
    <w:rsid w:val="009614EA"/>
    <w:rsid w:val="009645C3"/>
    <w:rsid w:val="009652BB"/>
    <w:rsid w:val="00970829"/>
    <w:rsid w:val="00983672"/>
    <w:rsid w:val="009A0650"/>
    <w:rsid w:val="009B00AE"/>
    <w:rsid w:val="009B15E8"/>
    <w:rsid w:val="009C09F5"/>
    <w:rsid w:val="009C0E35"/>
    <w:rsid w:val="009D0E69"/>
    <w:rsid w:val="009D5CB5"/>
    <w:rsid w:val="009D7C74"/>
    <w:rsid w:val="009E1C61"/>
    <w:rsid w:val="009E1F44"/>
    <w:rsid w:val="009E54EC"/>
    <w:rsid w:val="00A04793"/>
    <w:rsid w:val="00A13092"/>
    <w:rsid w:val="00A17997"/>
    <w:rsid w:val="00A2183E"/>
    <w:rsid w:val="00A2563F"/>
    <w:rsid w:val="00A32718"/>
    <w:rsid w:val="00A33890"/>
    <w:rsid w:val="00A43DD0"/>
    <w:rsid w:val="00A47D50"/>
    <w:rsid w:val="00A60530"/>
    <w:rsid w:val="00A62961"/>
    <w:rsid w:val="00A636EF"/>
    <w:rsid w:val="00A64C34"/>
    <w:rsid w:val="00A6531F"/>
    <w:rsid w:val="00A659F0"/>
    <w:rsid w:val="00A679C5"/>
    <w:rsid w:val="00A80EE7"/>
    <w:rsid w:val="00A93AEE"/>
    <w:rsid w:val="00A9410E"/>
    <w:rsid w:val="00AA05E6"/>
    <w:rsid w:val="00AA2557"/>
    <w:rsid w:val="00AB00BE"/>
    <w:rsid w:val="00AB3F39"/>
    <w:rsid w:val="00AB5D85"/>
    <w:rsid w:val="00AB7926"/>
    <w:rsid w:val="00AC2428"/>
    <w:rsid w:val="00AD1037"/>
    <w:rsid w:val="00AD41D2"/>
    <w:rsid w:val="00AE20FE"/>
    <w:rsid w:val="00AE6A3C"/>
    <w:rsid w:val="00B17AEC"/>
    <w:rsid w:val="00B3651E"/>
    <w:rsid w:val="00B37154"/>
    <w:rsid w:val="00B374F0"/>
    <w:rsid w:val="00B3762A"/>
    <w:rsid w:val="00B47E10"/>
    <w:rsid w:val="00B655FE"/>
    <w:rsid w:val="00B81EA4"/>
    <w:rsid w:val="00B82006"/>
    <w:rsid w:val="00B8215B"/>
    <w:rsid w:val="00B82839"/>
    <w:rsid w:val="00B83E71"/>
    <w:rsid w:val="00B91B1B"/>
    <w:rsid w:val="00B95486"/>
    <w:rsid w:val="00B96E12"/>
    <w:rsid w:val="00BA0657"/>
    <w:rsid w:val="00BA0A5F"/>
    <w:rsid w:val="00BA5671"/>
    <w:rsid w:val="00BB71E0"/>
    <w:rsid w:val="00BC0643"/>
    <w:rsid w:val="00BC19B3"/>
    <w:rsid w:val="00BC2576"/>
    <w:rsid w:val="00BC7CD2"/>
    <w:rsid w:val="00BE05B7"/>
    <w:rsid w:val="00BE2F8C"/>
    <w:rsid w:val="00BE5675"/>
    <w:rsid w:val="00BE78AC"/>
    <w:rsid w:val="00C1080D"/>
    <w:rsid w:val="00C16673"/>
    <w:rsid w:val="00C2178F"/>
    <w:rsid w:val="00C25947"/>
    <w:rsid w:val="00C27B66"/>
    <w:rsid w:val="00C30849"/>
    <w:rsid w:val="00C471EE"/>
    <w:rsid w:val="00C50BE7"/>
    <w:rsid w:val="00C5760C"/>
    <w:rsid w:val="00C57C85"/>
    <w:rsid w:val="00C63006"/>
    <w:rsid w:val="00C6470C"/>
    <w:rsid w:val="00C7165E"/>
    <w:rsid w:val="00C7296E"/>
    <w:rsid w:val="00C76149"/>
    <w:rsid w:val="00C76DA5"/>
    <w:rsid w:val="00C76E40"/>
    <w:rsid w:val="00C806CF"/>
    <w:rsid w:val="00C82BE5"/>
    <w:rsid w:val="00C838B4"/>
    <w:rsid w:val="00C87D66"/>
    <w:rsid w:val="00C91CE2"/>
    <w:rsid w:val="00C933E1"/>
    <w:rsid w:val="00CA0566"/>
    <w:rsid w:val="00CA51E0"/>
    <w:rsid w:val="00CA58BD"/>
    <w:rsid w:val="00CD5C31"/>
    <w:rsid w:val="00CE0E16"/>
    <w:rsid w:val="00CE55C7"/>
    <w:rsid w:val="00CE7E7A"/>
    <w:rsid w:val="00CF46C3"/>
    <w:rsid w:val="00CF4D8B"/>
    <w:rsid w:val="00CF5CBE"/>
    <w:rsid w:val="00CF758E"/>
    <w:rsid w:val="00D02C03"/>
    <w:rsid w:val="00D0449B"/>
    <w:rsid w:val="00D04521"/>
    <w:rsid w:val="00D145A3"/>
    <w:rsid w:val="00D1654B"/>
    <w:rsid w:val="00D20402"/>
    <w:rsid w:val="00D329F9"/>
    <w:rsid w:val="00D32A3E"/>
    <w:rsid w:val="00D32E3D"/>
    <w:rsid w:val="00D330ED"/>
    <w:rsid w:val="00D426F0"/>
    <w:rsid w:val="00D43CD3"/>
    <w:rsid w:val="00D54DD1"/>
    <w:rsid w:val="00D64CA1"/>
    <w:rsid w:val="00D70D10"/>
    <w:rsid w:val="00D823C2"/>
    <w:rsid w:val="00DB79B1"/>
    <w:rsid w:val="00DC1E0B"/>
    <w:rsid w:val="00DC4635"/>
    <w:rsid w:val="00DC5DCE"/>
    <w:rsid w:val="00DC6CDC"/>
    <w:rsid w:val="00DD1CDC"/>
    <w:rsid w:val="00DD2244"/>
    <w:rsid w:val="00DE498A"/>
    <w:rsid w:val="00DE6471"/>
    <w:rsid w:val="00DF1832"/>
    <w:rsid w:val="00DF40E8"/>
    <w:rsid w:val="00DF58B0"/>
    <w:rsid w:val="00E07E80"/>
    <w:rsid w:val="00E111A4"/>
    <w:rsid w:val="00E176F4"/>
    <w:rsid w:val="00E328E0"/>
    <w:rsid w:val="00E36B99"/>
    <w:rsid w:val="00E36CF5"/>
    <w:rsid w:val="00E40404"/>
    <w:rsid w:val="00E40B34"/>
    <w:rsid w:val="00E44A78"/>
    <w:rsid w:val="00E47783"/>
    <w:rsid w:val="00E610BF"/>
    <w:rsid w:val="00E72F72"/>
    <w:rsid w:val="00E753D6"/>
    <w:rsid w:val="00E766E9"/>
    <w:rsid w:val="00E80050"/>
    <w:rsid w:val="00E80214"/>
    <w:rsid w:val="00E81E25"/>
    <w:rsid w:val="00E84505"/>
    <w:rsid w:val="00E87DC6"/>
    <w:rsid w:val="00E87F83"/>
    <w:rsid w:val="00E9010F"/>
    <w:rsid w:val="00E91F32"/>
    <w:rsid w:val="00EA552F"/>
    <w:rsid w:val="00EB0A44"/>
    <w:rsid w:val="00EB22D7"/>
    <w:rsid w:val="00EB6E89"/>
    <w:rsid w:val="00EC18F4"/>
    <w:rsid w:val="00ED7A78"/>
    <w:rsid w:val="00EE5F2F"/>
    <w:rsid w:val="00EE78D1"/>
    <w:rsid w:val="00F03FA6"/>
    <w:rsid w:val="00F15248"/>
    <w:rsid w:val="00F2422A"/>
    <w:rsid w:val="00F2627D"/>
    <w:rsid w:val="00F3224D"/>
    <w:rsid w:val="00F336D3"/>
    <w:rsid w:val="00F35B1E"/>
    <w:rsid w:val="00F4112B"/>
    <w:rsid w:val="00F4232E"/>
    <w:rsid w:val="00F43D44"/>
    <w:rsid w:val="00F4546E"/>
    <w:rsid w:val="00F51A8A"/>
    <w:rsid w:val="00F56B0F"/>
    <w:rsid w:val="00F5797A"/>
    <w:rsid w:val="00F649BC"/>
    <w:rsid w:val="00F66802"/>
    <w:rsid w:val="00F67E44"/>
    <w:rsid w:val="00F764AB"/>
    <w:rsid w:val="00F800DE"/>
    <w:rsid w:val="00F8024F"/>
    <w:rsid w:val="00F916B2"/>
    <w:rsid w:val="00FA4CC3"/>
    <w:rsid w:val="00FA5B03"/>
    <w:rsid w:val="00FB4491"/>
    <w:rsid w:val="00FD6FE6"/>
    <w:rsid w:val="00FE73FE"/>
    <w:rsid w:val="00FF3375"/>
    <w:rsid w:val="00FF4E90"/>
    <w:rsid w:val="253F6A12"/>
    <w:rsid w:val="51096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4"/>
    <w:unhideWhenUsed/>
    <w:qFormat/>
    <w:uiPriority w:val="99"/>
    <w:rPr>
      <w:rFonts w:asciiTheme="minorHAnsi" w:hAnsiTheme="minorHAnsi" w:eastAsiaTheme="minorEastAsia" w:cstheme="minorBidi"/>
      <w:b/>
      <w:bCs/>
      <w:szCs w:val="22"/>
    </w:rPr>
  </w:style>
  <w:style w:type="paragraph" w:styleId="3">
    <w:name w:val="annotation text"/>
    <w:basedOn w:val="1"/>
    <w:link w:val="29"/>
    <w:uiPriority w:val="99"/>
    <w:pPr>
      <w:jc w:val="left"/>
    </w:pPr>
    <w:rPr>
      <w:rFonts w:ascii="Times New Roman" w:hAnsi="Times New Roman" w:eastAsia="宋体" w:cs="Times New Roman"/>
      <w:szCs w:val="24"/>
    </w:rPr>
  </w:style>
  <w:style w:type="paragraph" w:styleId="4">
    <w:name w:val="Document Map"/>
    <w:basedOn w:val="1"/>
    <w:link w:val="36"/>
    <w:semiHidden/>
    <w:uiPriority w:val="99"/>
    <w:pPr>
      <w:shd w:val="clear" w:color="auto" w:fill="000080"/>
    </w:pPr>
    <w:rPr>
      <w:rFonts w:ascii="Times New Roman" w:hAnsi="Times New Roman" w:eastAsia="宋体" w:cs="Times New Roman"/>
      <w:szCs w:val="24"/>
    </w:rPr>
  </w:style>
  <w:style w:type="paragraph" w:styleId="5">
    <w:name w:val="Body Text Indent"/>
    <w:basedOn w:val="1"/>
    <w:link w:val="23"/>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6">
    <w:name w:val="Plain Text"/>
    <w:basedOn w:val="1"/>
    <w:link w:val="26"/>
    <w:qFormat/>
    <w:uiPriority w:val="0"/>
    <w:rPr>
      <w:rFonts w:ascii="宋体" w:hAnsi="Courier New" w:eastAsia="宋体" w:cs="Times New Roman"/>
      <w:szCs w:val="21"/>
    </w:rPr>
  </w:style>
  <w:style w:type="paragraph" w:styleId="7">
    <w:name w:val="Date"/>
    <w:basedOn w:val="1"/>
    <w:next w:val="1"/>
    <w:link w:val="35"/>
    <w:unhideWhenUsed/>
    <w:qFormat/>
    <w:uiPriority w:val="99"/>
    <w:pPr>
      <w:ind w:left="100" w:leftChars="2500"/>
    </w:pPr>
  </w:style>
  <w:style w:type="paragraph" w:styleId="8">
    <w:name w:val="Body Text Indent 2"/>
    <w:basedOn w:val="1"/>
    <w:link w:val="27"/>
    <w:qFormat/>
    <w:uiPriority w:val="0"/>
    <w:pPr>
      <w:spacing w:after="120" w:line="480" w:lineRule="auto"/>
      <w:ind w:left="420" w:leftChars="200"/>
    </w:pPr>
    <w:rPr>
      <w:rFonts w:ascii="Times New Roman" w:hAnsi="Times New Roman" w:eastAsia="宋体" w:cs="Times New Roman"/>
      <w:szCs w:val="24"/>
    </w:rPr>
  </w:style>
  <w:style w:type="paragraph" w:styleId="9">
    <w:name w:val="Balloon Text"/>
    <w:basedOn w:val="1"/>
    <w:link w:val="24"/>
    <w:semiHidden/>
    <w:qFormat/>
    <w:uiPriority w:val="0"/>
    <w:rPr>
      <w:rFonts w:ascii="Times New Roman" w:hAnsi="Times New Roman" w:eastAsia="宋体" w:cs="Times New Roman"/>
      <w:sz w:val="18"/>
      <w:szCs w:val="18"/>
    </w:rPr>
  </w:style>
  <w:style w:type="paragraph" w:styleId="10">
    <w:name w:val="footer"/>
    <w:basedOn w:val="1"/>
    <w:link w:val="2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1"/>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2">
    <w:name w:val="Body Text Indent 3"/>
    <w:basedOn w:val="1"/>
    <w:link w:val="28"/>
    <w:uiPriority w:val="0"/>
    <w:pPr>
      <w:spacing w:after="120"/>
      <w:ind w:left="420" w:leftChars="200"/>
    </w:pPr>
    <w:rPr>
      <w:rFonts w:ascii="Times New Roman" w:hAnsi="Times New Roman" w:eastAsia="宋体" w:cs="Times New Roman"/>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qFormat/>
    <w:uiPriority w:val="0"/>
    <w:rPr>
      <w:b/>
      <w:bCs/>
    </w:rPr>
  </w:style>
  <w:style w:type="character" w:styleId="16">
    <w:name w:val="page number"/>
    <w:basedOn w:val="14"/>
    <w:qFormat/>
    <w:uiPriority w:val="0"/>
  </w:style>
  <w:style w:type="character" w:styleId="17">
    <w:name w:val="annotation reference"/>
    <w:basedOn w:val="14"/>
    <w:qFormat/>
    <w:uiPriority w:val="99"/>
    <w:rPr>
      <w:sz w:val="21"/>
      <w:szCs w:val="21"/>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脚 Char"/>
    <w:basedOn w:val="14"/>
    <w:link w:val="10"/>
    <w:qFormat/>
    <w:uiPriority w:val="99"/>
    <w:rPr>
      <w:rFonts w:ascii="Times New Roman" w:hAnsi="Times New Roman" w:eastAsia="宋体" w:cs="Times New Roman"/>
      <w:sz w:val="18"/>
      <w:szCs w:val="18"/>
    </w:rPr>
  </w:style>
  <w:style w:type="character" w:customStyle="1" w:styleId="21">
    <w:name w:val="页眉 Char"/>
    <w:basedOn w:val="14"/>
    <w:link w:val="11"/>
    <w:qFormat/>
    <w:uiPriority w:val="99"/>
    <w:rPr>
      <w:rFonts w:cs="Times New Roman" w:asciiTheme="majorEastAsia" w:hAnsiTheme="majorEastAsia" w:eastAsiaTheme="majorEastAsia"/>
      <w:b/>
      <w:szCs w:val="21"/>
    </w:rPr>
  </w:style>
  <w:style w:type="paragraph" w:customStyle="1" w:styleId="22">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3">
    <w:name w:val="正文文本缩进 Char"/>
    <w:basedOn w:val="14"/>
    <w:link w:val="5"/>
    <w:uiPriority w:val="0"/>
    <w:rPr>
      <w:rFonts w:ascii="Times New Roman" w:hAnsi="Times New Roman" w:eastAsia="宋体" w:cs="Times New Roman"/>
      <w:kern w:val="0"/>
      <w:sz w:val="24"/>
      <w:szCs w:val="20"/>
    </w:rPr>
  </w:style>
  <w:style w:type="character" w:customStyle="1" w:styleId="24">
    <w:name w:val="批注框文本 Char"/>
    <w:basedOn w:val="14"/>
    <w:link w:val="9"/>
    <w:semiHidden/>
    <w:qFormat/>
    <w:uiPriority w:val="0"/>
    <w:rPr>
      <w:rFonts w:ascii="Times New Roman" w:hAnsi="Times New Roman" w:eastAsia="宋体" w:cs="Times New Roman"/>
      <w:sz w:val="18"/>
      <w:szCs w:val="18"/>
    </w:rPr>
  </w:style>
  <w:style w:type="paragraph" w:customStyle="1" w:styleId="25">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6">
    <w:name w:val="纯文本 Char"/>
    <w:basedOn w:val="14"/>
    <w:link w:val="6"/>
    <w:qFormat/>
    <w:uiPriority w:val="0"/>
    <w:rPr>
      <w:rFonts w:ascii="宋体" w:hAnsi="Courier New" w:eastAsia="宋体" w:cs="Times New Roman"/>
      <w:szCs w:val="21"/>
    </w:rPr>
  </w:style>
  <w:style w:type="character" w:customStyle="1" w:styleId="27">
    <w:name w:val="正文文本缩进 2 Char"/>
    <w:basedOn w:val="14"/>
    <w:link w:val="8"/>
    <w:qFormat/>
    <w:uiPriority w:val="0"/>
    <w:rPr>
      <w:rFonts w:ascii="Times New Roman" w:hAnsi="Times New Roman" w:eastAsia="宋体" w:cs="Times New Roman"/>
      <w:szCs w:val="24"/>
    </w:rPr>
  </w:style>
  <w:style w:type="character" w:customStyle="1" w:styleId="28">
    <w:name w:val="正文文本缩进 3 Char"/>
    <w:basedOn w:val="14"/>
    <w:link w:val="12"/>
    <w:qFormat/>
    <w:uiPriority w:val="0"/>
    <w:rPr>
      <w:rFonts w:ascii="Times New Roman" w:hAnsi="Times New Roman" w:eastAsia="宋体" w:cs="Times New Roman"/>
      <w:sz w:val="16"/>
      <w:szCs w:val="16"/>
    </w:rPr>
  </w:style>
  <w:style w:type="character" w:customStyle="1" w:styleId="29">
    <w:name w:val="批注文字 Char"/>
    <w:basedOn w:val="14"/>
    <w:link w:val="3"/>
    <w:uiPriority w:val="99"/>
    <w:rPr>
      <w:rFonts w:ascii="Times New Roman" w:hAnsi="Times New Roman" w:eastAsia="宋体" w:cs="Times New Roman"/>
      <w:szCs w:val="24"/>
    </w:rPr>
  </w:style>
  <w:style w:type="paragraph" w:customStyle="1" w:styleId="30">
    <w:name w:val="表格"/>
    <w:basedOn w:val="1"/>
    <w:link w:val="31"/>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1">
    <w:name w:val="表格 Char"/>
    <w:link w:val="30"/>
    <w:qFormat/>
    <w:uiPriority w:val="0"/>
    <w:rPr>
      <w:rFonts w:ascii="仿宋_GB2312" w:hAnsi="Times New Roman" w:eastAsia="宋体" w:cs="Times New Roman"/>
      <w:color w:val="000000"/>
      <w:kern w:val="0"/>
      <w:szCs w:val="24"/>
    </w:rPr>
  </w:style>
  <w:style w:type="paragraph" w:customStyle="1" w:styleId="32">
    <w:name w:val="列出段落1"/>
    <w:basedOn w:val="1"/>
    <w:qFormat/>
    <w:uiPriority w:val="34"/>
    <w:pPr>
      <w:ind w:firstLine="420" w:firstLineChars="200"/>
    </w:pPr>
    <w:rPr>
      <w:rFonts w:ascii="Times New Roman" w:hAnsi="Times New Roman" w:eastAsia="宋体" w:cs="Times New Roman"/>
      <w:szCs w:val="24"/>
    </w:rPr>
  </w:style>
  <w:style w:type="paragraph" w:customStyle="1" w:styleId="33">
    <w:name w:val="p0"/>
    <w:basedOn w:val="1"/>
    <w:qFormat/>
    <w:uiPriority w:val="0"/>
    <w:pPr>
      <w:widowControl/>
    </w:pPr>
    <w:rPr>
      <w:rFonts w:ascii="Times New Roman" w:hAnsi="Times New Roman" w:eastAsia="宋体" w:cs="Times New Roman"/>
      <w:kern w:val="0"/>
      <w:szCs w:val="21"/>
    </w:rPr>
  </w:style>
  <w:style w:type="character" w:customStyle="1" w:styleId="34">
    <w:name w:val="批注主题 Char"/>
    <w:basedOn w:val="29"/>
    <w:link w:val="2"/>
    <w:semiHidden/>
    <w:qFormat/>
    <w:uiPriority w:val="99"/>
    <w:rPr>
      <w:rFonts w:ascii="Times New Roman" w:hAnsi="Times New Roman" w:eastAsia="宋体" w:cs="Times New Roman"/>
      <w:b/>
      <w:bCs/>
      <w:szCs w:val="24"/>
    </w:rPr>
  </w:style>
  <w:style w:type="character" w:customStyle="1" w:styleId="35">
    <w:name w:val="日期 Char"/>
    <w:basedOn w:val="14"/>
    <w:link w:val="7"/>
    <w:semiHidden/>
    <w:qFormat/>
    <w:uiPriority w:val="99"/>
  </w:style>
  <w:style w:type="character" w:customStyle="1" w:styleId="36">
    <w:name w:val="文档结构图 Char"/>
    <w:basedOn w:val="14"/>
    <w:link w:val="4"/>
    <w:semiHidden/>
    <w:uiPriority w:val="99"/>
    <w:rPr>
      <w:rFonts w:ascii="Times New Roman" w:hAnsi="Times New Roman" w:eastAsia="宋体" w:cs="Times New Roman"/>
      <w:szCs w:val="24"/>
      <w:shd w:val="clear" w:color="auto" w:fill="000080"/>
    </w:rPr>
  </w:style>
  <w:style w:type="paragraph" w:customStyle="1" w:styleId="37">
    <w:name w:val="Char Char Char Char Char Char Char Char Char Char Char Char"/>
    <w:basedOn w:val="1"/>
    <w:semiHidden/>
    <w:qFormat/>
    <w:uiPriority w:val="0"/>
    <w:pPr>
      <w:widowControl/>
      <w:spacing w:after="160" w:line="240" w:lineRule="exact"/>
      <w:jc w:val="left"/>
    </w:pPr>
    <w:rPr>
      <w:rFonts w:ascii="Arial" w:hAnsi="Arial" w:eastAsia="宋体" w:cs="Times New Roman"/>
      <w:kern w:val="0"/>
      <w:sz w:val="22"/>
      <w:lang w:eastAsia="en-US"/>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75BE89-40F5-4BBC-9848-032F08DF32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1718</Words>
  <Characters>9796</Characters>
  <Lines>81</Lines>
  <Paragraphs>22</Paragraphs>
  <TotalTime>0</TotalTime>
  <ScaleCrop>false</ScaleCrop>
  <LinksUpToDate>false</LinksUpToDate>
  <CharactersWithSpaces>11492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2019-06-03T01:49:00Z</dcterms:created>
  <dc:creator>张嘉欢</dc:creator>
  <cp:lastModifiedBy>常孟园</cp:lastModifiedBy>
  <dcterms:modified xsi:type="dcterms:W3CDTF">2019-06-05T09:04:13Z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