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5" w:line="360" w:lineRule="auto"/>
        <w:jc w:val="center"/>
        <w:rPr>
          <w:rFonts w:ascii="黑体" w:hAnsi="黑体" w:eastAsia="黑体"/>
          <w:sz w:val="36"/>
          <w:szCs w:val="36"/>
        </w:rPr>
      </w:pPr>
      <w:r>
        <w:rPr>
          <w:rFonts w:hint="eastAsia" w:ascii="黑体" w:hAnsi="黑体" w:eastAsia="黑体"/>
          <w:sz w:val="36"/>
          <w:szCs w:val="36"/>
        </w:rPr>
        <w:t>深圳市市场监督管理局</w:t>
      </w:r>
    </w:p>
    <w:p>
      <w:pPr>
        <w:spacing w:beforeLines="75" w:line="360" w:lineRule="auto"/>
        <w:jc w:val="center"/>
        <w:rPr>
          <w:rFonts w:ascii="黑体" w:hAnsi="黑体" w:eastAsia="黑体"/>
          <w:kern w:val="0"/>
          <w:sz w:val="36"/>
          <w:szCs w:val="36"/>
        </w:rPr>
      </w:pPr>
      <w:r>
        <w:rPr>
          <w:rFonts w:hint="eastAsia" w:ascii="黑体" w:hAnsi="黑体" w:eastAsia="黑体"/>
          <w:kern w:val="0"/>
          <w:sz w:val="36"/>
          <w:szCs w:val="36"/>
        </w:rPr>
        <w:t>电热暖手器产品监督抽查实施规范</w:t>
      </w:r>
    </w:p>
    <w:p>
      <w:pPr>
        <w:spacing w:beforeLines="75" w:line="360" w:lineRule="auto"/>
        <w:jc w:val="center"/>
        <w:rPr>
          <w:rFonts w:ascii="黑体" w:hAnsi="黑体" w:eastAsia="黑体"/>
          <w:sz w:val="28"/>
        </w:rPr>
      </w:pPr>
      <w:r>
        <w:rPr>
          <w:rFonts w:hint="eastAsia" w:ascii="黑体" w:hAnsi="黑体" w:eastAsia="黑体"/>
          <w:sz w:val="28"/>
        </w:rPr>
        <w:t>编号</w:t>
      </w:r>
      <w:r>
        <w:rPr>
          <w:rFonts w:ascii="黑体" w:hAnsi="黑体" w:eastAsia="黑体"/>
          <w:sz w:val="28"/>
        </w:rPr>
        <w:t>：CCGF-SZ-</w:t>
      </w:r>
      <w:r>
        <w:rPr>
          <w:rFonts w:hint="eastAsia" w:ascii="黑体" w:hAnsi="黑体" w:eastAsia="黑体"/>
          <w:sz w:val="28"/>
        </w:rPr>
        <w:t>136</w:t>
      </w:r>
      <w:r>
        <w:rPr>
          <w:rFonts w:ascii="黑体" w:hAnsi="黑体" w:eastAsia="黑体"/>
          <w:sz w:val="28"/>
        </w:rPr>
        <w:t>-</w:t>
      </w:r>
      <w:r>
        <w:rPr>
          <w:rFonts w:hint="eastAsia" w:ascii="黑体" w:hAnsi="黑体" w:eastAsia="黑体"/>
          <w:sz w:val="28"/>
        </w:rPr>
        <w:t>2019</w:t>
      </w:r>
    </w:p>
    <w:p>
      <w:pPr>
        <w:snapToGrid w:val="0"/>
        <w:spacing w:line="360" w:lineRule="auto"/>
        <w:rPr>
          <w:rFonts w:ascii="宋体" w:hAnsi="宋体" w:eastAsia="宋体" w:cs="Times New Roman"/>
          <w:sz w:val="24"/>
        </w:rPr>
      </w:pP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1 适用范围</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本规范适用于深圳市生产及流通领域电热暖手器产品质量监督抽查。监督抽查产品范围适用于：电热暖手器产品。</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2产品种类</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 xml:space="preserve">产品种类见表1。      </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表1  产品种类</w:t>
      </w:r>
    </w:p>
    <w:tbl>
      <w:tblPr>
        <w:tblStyle w:val="16"/>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30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电热暖手器</w:t>
            </w:r>
          </w:p>
        </w:tc>
        <w:tc>
          <w:tcPr>
            <w:tcW w:w="6305" w:type="dxa"/>
            <w:vAlign w:val="center"/>
          </w:tcPr>
          <w:p>
            <w:pPr>
              <w:autoSpaceDE w:val="0"/>
              <w:autoSpaceDN w:val="0"/>
              <w:adjustRightInd w:val="0"/>
              <w:spacing w:line="300" w:lineRule="exact"/>
              <w:rPr>
                <w:rFonts w:ascii="仿宋_GB2312" w:hAnsi="宋体" w:eastAsia="仿宋_GB2312"/>
                <w:sz w:val="24"/>
                <w:szCs w:val="21"/>
              </w:rPr>
            </w:pPr>
            <w:r>
              <w:rPr>
                <w:rFonts w:hint="eastAsia" w:ascii="仿宋_GB2312" w:hAnsi="宋体" w:eastAsia="仿宋_GB2312"/>
                <w:sz w:val="24"/>
                <w:szCs w:val="21"/>
              </w:rPr>
              <w:t>软壳电热暖手袋、硬壳电热暖手袋</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3 术语和定义</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术语和定义见表2。</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表2 术语和定义</w:t>
      </w:r>
    </w:p>
    <w:tbl>
      <w:tblPr>
        <w:tblStyle w:val="16"/>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447"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电热暖手器</w:t>
            </w:r>
          </w:p>
        </w:tc>
        <w:tc>
          <w:tcPr>
            <w:tcW w:w="6447" w:type="dxa"/>
            <w:vAlign w:val="center"/>
          </w:tcPr>
          <w:p>
            <w:pPr>
              <w:snapToGrid w:val="0"/>
              <w:spacing w:line="300" w:lineRule="exact"/>
              <w:rPr>
                <w:rFonts w:ascii="仿宋_GB2312" w:hAnsi="宋体" w:eastAsia="仿宋_GB2312"/>
                <w:sz w:val="24"/>
                <w:szCs w:val="21"/>
              </w:rPr>
            </w:pPr>
            <w:r>
              <w:rPr>
                <w:rFonts w:hint="eastAsia" w:ascii="仿宋_GB2312" w:hAnsi="宋体" w:eastAsia="仿宋_GB2312"/>
                <w:sz w:val="24"/>
                <w:szCs w:val="21"/>
              </w:rPr>
              <w:t>家用和类似用途的、额定电压不超过250V的储热式电热暖手器及类似器具。</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4 检验依据</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检验依据见表3。</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表3 检验依据</w:t>
      </w:r>
    </w:p>
    <w:tbl>
      <w:tblPr>
        <w:tblStyle w:val="16"/>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4536"/>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051"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标准号</w:t>
            </w:r>
          </w:p>
        </w:tc>
        <w:tc>
          <w:tcPr>
            <w:tcW w:w="4536"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标准名称</w:t>
            </w:r>
          </w:p>
        </w:tc>
        <w:tc>
          <w:tcPr>
            <w:tcW w:w="2502"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51" w:type="dxa"/>
            <w:shd w:val="clear" w:color="auto" w:fill="auto"/>
            <w:vAlign w:val="center"/>
          </w:tcPr>
          <w:p>
            <w:pPr>
              <w:autoSpaceDE w:val="0"/>
              <w:autoSpaceDN w:val="0"/>
              <w:adjustRightInd w:val="0"/>
              <w:rPr>
                <w:rFonts w:ascii="仿宋_GB2312" w:hAnsi="宋体" w:eastAsia="仿宋_GB2312" w:cs="Times New Roman"/>
                <w:sz w:val="24"/>
                <w:szCs w:val="21"/>
              </w:rPr>
            </w:pPr>
            <w:r>
              <w:rPr>
                <w:rFonts w:ascii="仿宋_GB2312" w:hAnsi="宋体" w:eastAsia="仿宋_GB2312" w:cs="Times New Roman"/>
                <w:sz w:val="24"/>
                <w:szCs w:val="21"/>
              </w:rPr>
              <w:t xml:space="preserve">GB </w:t>
            </w:r>
            <w:r>
              <w:rPr>
                <w:rFonts w:hint="eastAsia" w:ascii="仿宋_GB2312" w:hAnsi="宋体" w:eastAsia="仿宋_GB2312" w:cs="Times New Roman"/>
                <w:sz w:val="24"/>
                <w:szCs w:val="21"/>
              </w:rPr>
              <w:t>4706.1-2005</w:t>
            </w:r>
          </w:p>
        </w:tc>
        <w:tc>
          <w:tcPr>
            <w:tcW w:w="4536" w:type="dxa"/>
            <w:shd w:val="clear" w:color="auto" w:fill="auto"/>
            <w:vAlign w:val="center"/>
          </w:tcPr>
          <w:p>
            <w:pPr>
              <w:autoSpaceDE w:val="0"/>
              <w:autoSpaceDN w:val="0"/>
              <w:adjustRightInd w:val="0"/>
              <w:rPr>
                <w:rFonts w:ascii="仿宋_GB2312" w:hAnsi="宋体" w:eastAsia="仿宋_GB2312" w:cs="Times New Roman"/>
                <w:sz w:val="24"/>
                <w:szCs w:val="21"/>
              </w:rPr>
            </w:pPr>
            <w:r>
              <w:rPr>
                <w:rFonts w:hint="eastAsia" w:ascii="仿宋_GB2312" w:hAnsi="宋体" w:eastAsia="仿宋_GB2312" w:cs="Times New Roman"/>
                <w:sz w:val="24"/>
                <w:szCs w:val="21"/>
              </w:rPr>
              <w:t>《家用和类似用途电器的安全 第1部分：通用要求》</w:t>
            </w:r>
          </w:p>
        </w:tc>
        <w:tc>
          <w:tcPr>
            <w:tcW w:w="2502" w:type="dxa"/>
            <w:shd w:val="clear" w:color="auto" w:fill="auto"/>
            <w:vAlign w:val="center"/>
          </w:tcPr>
          <w:p>
            <w:pPr>
              <w:snapToGrid w:val="0"/>
              <w:jc w:val="center"/>
              <w:rPr>
                <w:rFonts w:ascii="宋体" w:hAnsi="Calibri" w:eastAsia="宋体" w:cs="Times New Roman"/>
                <w:sz w:val="24"/>
                <w:szCs w:val="21"/>
              </w:rPr>
            </w:pP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51" w:type="dxa"/>
            <w:shd w:val="clear" w:color="auto" w:fill="auto"/>
            <w:vAlign w:val="center"/>
          </w:tcPr>
          <w:p>
            <w:pPr>
              <w:autoSpaceDE w:val="0"/>
              <w:autoSpaceDN w:val="0"/>
              <w:adjustRightInd w:val="0"/>
              <w:rPr>
                <w:rFonts w:ascii="仿宋_GB2312" w:hAnsi="宋体" w:eastAsia="仿宋_GB2312" w:cs="Times New Roman"/>
                <w:sz w:val="24"/>
                <w:szCs w:val="21"/>
              </w:rPr>
            </w:pPr>
            <w:r>
              <w:rPr>
                <w:rFonts w:ascii="仿宋_GB2312" w:hAnsi="宋体" w:eastAsia="仿宋_GB2312" w:cs="Times New Roman"/>
                <w:sz w:val="24"/>
                <w:szCs w:val="21"/>
              </w:rPr>
              <w:t xml:space="preserve">GB </w:t>
            </w:r>
            <w:r>
              <w:rPr>
                <w:rFonts w:hint="eastAsia" w:ascii="仿宋_GB2312" w:hAnsi="宋体" w:eastAsia="仿宋_GB2312" w:cs="Times New Roman"/>
                <w:sz w:val="24"/>
                <w:szCs w:val="21"/>
              </w:rPr>
              <w:t>4706.99-2009</w:t>
            </w:r>
          </w:p>
        </w:tc>
        <w:tc>
          <w:tcPr>
            <w:tcW w:w="4536" w:type="dxa"/>
            <w:shd w:val="clear" w:color="auto" w:fill="auto"/>
            <w:vAlign w:val="center"/>
          </w:tcPr>
          <w:p>
            <w:pPr>
              <w:autoSpaceDE w:val="0"/>
              <w:autoSpaceDN w:val="0"/>
              <w:adjustRightInd w:val="0"/>
              <w:rPr>
                <w:rFonts w:ascii="仿宋_GB2312" w:hAnsi="宋体" w:eastAsia="仿宋_GB2312" w:cs="Times New Roman"/>
                <w:sz w:val="24"/>
                <w:szCs w:val="21"/>
              </w:rPr>
            </w:pPr>
            <w:r>
              <w:rPr>
                <w:rFonts w:hint="eastAsia" w:ascii="仿宋_GB2312" w:hAnsi="宋体" w:eastAsia="仿宋_GB2312" w:cs="Times New Roman"/>
                <w:sz w:val="24"/>
                <w:szCs w:val="21"/>
              </w:rPr>
              <w:t>《家用和类似用途电器的安全 储热式电热暖手器的特殊要求》</w:t>
            </w:r>
          </w:p>
        </w:tc>
        <w:tc>
          <w:tcPr>
            <w:tcW w:w="2502" w:type="dxa"/>
            <w:shd w:val="clear" w:color="auto" w:fill="auto"/>
            <w:vAlign w:val="center"/>
          </w:tcPr>
          <w:p>
            <w:pPr>
              <w:snapToGrid w:val="0"/>
              <w:jc w:val="center"/>
              <w:rPr>
                <w:rFonts w:ascii="宋体" w:hAnsi="Calibri" w:eastAsia="宋体" w:cs="Times New Roman"/>
                <w:sz w:val="24"/>
                <w:szCs w:val="21"/>
              </w:rPr>
            </w:pP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CNAS</w:t>
            </w:r>
          </w:p>
        </w:tc>
      </w:tr>
    </w:tbl>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相关的产品强制性标准、行业标准、政府法规及产品的明示标准和明示担保内容。</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 抽样</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5.1 抽样型号或规格</w:t>
      </w:r>
    </w:p>
    <w:p>
      <w:pPr>
        <w:snapToGrid w:val="0"/>
        <w:spacing w:line="360" w:lineRule="auto"/>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抽取样品须为同一型号规格，同一批次的产品。</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5.2 抽样方法</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5.3 抽样基数</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在生产企业和市场上抽样时，抽样基数应不少于抽取样品量。</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5.4 抽样数量</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生产领域：随机抽取同一规格型号的2台样品，1台作为检验样品带回承检机构，1台作为备用样品封存于承检机构；</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流通领域（实体店）：随机抽取同一规格型号的2台样品，1台作为检验样品带回承检机构，1台作为备用样品封存于受检单位。</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流通领域（网络交易平台）：随机抽取同一规格型号的2台样品，1台作为检验样品带回承检机构，1台作为备用样品封存于承检机构。</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5.5 样品处置</w:t>
      </w:r>
    </w:p>
    <w:p>
      <w:pPr>
        <w:spacing w:line="360" w:lineRule="auto"/>
        <w:rPr>
          <w:rFonts w:ascii="仿宋_GB2312" w:hAnsi="宋体" w:eastAsia="仿宋_GB2312" w:cs="Times New Roman"/>
          <w:sz w:val="28"/>
          <w:szCs w:val="28"/>
        </w:rPr>
      </w:pPr>
      <w:r>
        <w:rPr>
          <w:rFonts w:hint="eastAsia" w:ascii="仿宋_GB2312" w:hAnsi="ˎ̥" w:eastAsia="仿宋_GB2312" w:cs="Times New Roman"/>
          <w:b/>
          <w:sz w:val="28"/>
          <w:szCs w:val="28"/>
        </w:rPr>
        <w:t>5.5.1</w:t>
      </w:r>
      <w:r>
        <w:rPr>
          <w:rFonts w:hint="eastAsia" w:ascii="仿宋_GB2312" w:hAnsi="宋体" w:eastAsia="仿宋_GB2312" w:cs="Times New Roman"/>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sz w:val="28"/>
          <w:szCs w:val="28"/>
        </w:rPr>
      </w:pPr>
      <w:r>
        <w:rPr>
          <w:rFonts w:hint="eastAsia" w:ascii="仿宋_GB2312" w:hAnsi="宋体" w:eastAsia="仿宋_GB2312" w:cs="Times New Roman"/>
          <w:b/>
          <w:sz w:val="28"/>
          <w:szCs w:val="28"/>
        </w:rPr>
        <w:t>5.5.2</w:t>
      </w:r>
      <w:r>
        <w:rPr>
          <w:rFonts w:hint="eastAsia" w:ascii="仿宋_GB2312" w:hAnsi="Calibri" w:eastAsia="仿宋_GB2312" w:cs="Times New Roman"/>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spacing w:line="360" w:lineRule="auto"/>
        <w:rPr>
          <w:rFonts w:ascii="仿宋_GB2312" w:hAnsi="Calibri" w:eastAsia="仿宋_GB2312" w:cs="Times New Roman"/>
          <w:sz w:val="28"/>
          <w:szCs w:val="28"/>
        </w:rPr>
      </w:pPr>
      <w:r>
        <w:rPr>
          <w:rFonts w:hint="eastAsia" w:ascii="仿宋_GB2312" w:hAnsi="宋体" w:eastAsia="仿宋_GB2312" w:cs="Times New Roman"/>
          <w:b/>
          <w:sz w:val="28"/>
          <w:szCs w:val="28"/>
        </w:rPr>
        <w:t>5.5.3</w:t>
      </w:r>
      <w:r>
        <w:rPr>
          <w:rFonts w:hint="eastAsia" w:ascii="仿宋_GB2312" w:hAnsi="Calibri" w:eastAsia="仿宋_GB2312" w:cs="Times New Roman"/>
          <w:sz w:val="28"/>
          <w:szCs w:val="28"/>
        </w:rPr>
        <w:t>抽取产品时，需要抽取产品相应的配套附件，例如充电器、说明书、保修卡等。</w:t>
      </w:r>
    </w:p>
    <w:p>
      <w:pPr>
        <w:autoSpaceDE w:val="0"/>
        <w:autoSpaceDN w:val="0"/>
        <w:adjustRightIn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5.6 抽样单</w:t>
      </w:r>
    </w:p>
    <w:p>
      <w:pPr>
        <w:snapToGrid w:val="0"/>
        <w:spacing w:line="360" w:lineRule="auto"/>
        <w:ind w:firstLine="537" w:firstLineChars="192"/>
        <w:rPr>
          <w:rFonts w:ascii="仿宋_GB2312" w:hAnsi="Calibri" w:eastAsia="仿宋_GB2312" w:cs="Sim Sun"/>
          <w:kern w:val="0"/>
          <w:sz w:val="28"/>
          <w:szCs w:val="28"/>
        </w:rPr>
      </w:pPr>
      <w:r>
        <w:rPr>
          <w:rFonts w:hint="eastAsia" w:ascii="仿宋_GB2312" w:hAnsi="宋体" w:eastAsia="仿宋_GB2312" w:cs="Times New Roman"/>
          <w:sz w:val="28"/>
          <w:szCs w:val="28"/>
        </w:rPr>
        <w:t>应按有关规定填写抽样单，并记录被抽查产品及企业相关信息。</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 检验要求</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6.1 检验项目</w:t>
      </w:r>
    </w:p>
    <w:tbl>
      <w:tblPr>
        <w:tblStyle w:val="16"/>
        <w:tblW w:w="9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54"/>
        <w:gridCol w:w="2627"/>
        <w:gridCol w:w="1265"/>
        <w:gridCol w:w="2541"/>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696" w:type="dxa"/>
            <w:vAlign w:val="center"/>
          </w:tcPr>
          <w:p>
            <w:pPr>
              <w:pStyle w:val="5"/>
              <w:snapToGrid w:val="0"/>
              <w:spacing w:line="240" w:lineRule="exact"/>
              <w:jc w:val="center"/>
              <w:rPr>
                <w:rFonts w:ascii="黑体" w:hAnsi="黑体" w:eastAsia="黑体"/>
                <w:sz w:val="24"/>
              </w:rPr>
            </w:pPr>
            <w:r>
              <w:rPr>
                <w:rFonts w:hint="eastAsia" w:ascii="黑体" w:hAnsi="黑体" w:eastAsia="黑体"/>
                <w:sz w:val="24"/>
              </w:rPr>
              <w:t>序号</w:t>
            </w:r>
          </w:p>
        </w:tc>
        <w:tc>
          <w:tcPr>
            <w:tcW w:w="1554" w:type="dxa"/>
            <w:vAlign w:val="center"/>
          </w:tcPr>
          <w:p>
            <w:pPr>
              <w:pStyle w:val="5"/>
              <w:snapToGrid w:val="0"/>
              <w:spacing w:line="240" w:lineRule="exact"/>
              <w:jc w:val="center"/>
              <w:rPr>
                <w:rFonts w:ascii="黑体" w:hAnsi="黑体" w:eastAsia="黑体"/>
                <w:sz w:val="24"/>
              </w:rPr>
            </w:pPr>
            <w:r>
              <w:rPr>
                <w:rFonts w:hint="eastAsia" w:ascii="黑体" w:hAnsi="黑体" w:eastAsia="黑体"/>
                <w:sz w:val="24"/>
              </w:rPr>
              <w:t>检验项目</w:t>
            </w:r>
          </w:p>
        </w:tc>
        <w:tc>
          <w:tcPr>
            <w:tcW w:w="2627" w:type="dxa"/>
            <w:vAlign w:val="center"/>
          </w:tcPr>
          <w:p>
            <w:pPr>
              <w:snapToGrid w:val="0"/>
              <w:spacing w:line="280" w:lineRule="exact"/>
              <w:jc w:val="center"/>
              <w:rPr>
                <w:rFonts w:ascii="黑体" w:hAnsi="黑体" w:eastAsia="黑体" w:cs="Times New Roman"/>
                <w:sz w:val="24"/>
                <w:szCs w:val="21"/>
                <w:vertAlign w:val="superscript"/>
              </w:rPr>
            </w:pPr>
            <w:r>
              <w:rPr>
                <w:rFonts w:hint="eastAsia" w:ascii="黑体" w:hAnsi="黑体" w:eastAsia="黑体" w:cs="Times New Roman"/>
                <w:sz w:val="24"/>
                <w:szCs w:val="21"/>
              </w:rPr>
              <w:t>检测依据</w:t>
            </w:r>
          </w:p>
        </w:tc>
        <w:tc>
          <w:tcPr>
            <w:tcW w:w="1265" w:type="dxa"/>
            <w:vAlign w:val="center"/>
          </w:tcPr>
          <w:p>
            <w:pPr>
              <w:pStyle w:val="5"/>
              <w:snapToGrid w:val="0"/>
              <w:spacing w:line="240" w:lineRule="exact"/>
              <w:jc w:val="center"/>
              <w:rPr>
                <w:rFonts w:ascii="黑体" w:hAnsi="黑体" w:eastAsia="黑体"/>
                <w:sz w:val="24"/>
              </w:rPr>
            </w:pPr>
            <w:r>
              <w:rPr>
                <w:rFonts w:hint="eastAsia" w:ascii="黑体" w:hAnsi="黑体" w:eastAsia="黑体"/>
                <w:sz w:val="24"/>
              </w:rPr>
              <w:t>项目性质</w:t>
            </w:r>
          </w:p>
        </w:tc>
        <w:tc>
          <w:tcPr>
            <w:tcW w:w="2541" w:type="dxa"/>
            <w:vAlign w:val="center"/>
          </w:tcPr>
          <w:p>
            <w:pPr>
              <w:snapToGrid w:val="0"/>
              <w:spacing w:line="280" w:lineRule="exact"/>
              <w:jc w:val="center"/>
              <w:rPr>
                <w:rFonts w:ascii="黑体" w:hAnsi="黑体" w:eastAsia="黑体" w:cs="Times New Roman"/>
                <w:sz w:val="24"/>
                <w:szCs w:val="21"/>
              </w:rPr>
            </w:pPr>
            <w:r>
              <w:rPr>
                <w:rFonts w:hint="eastAsia" w:ascii="黑体" w:hAnsi="黑体" w:eastAsia="黑体" w:cs="Times New Roman"/>
                <w:sz w:val="24"/>
                <w:szCs w:val="21"/>
              </w:rPr>
              <w:t>检测</w:t>
            </w:r>
            <w:r>
              <w:rPr>
                <w:rFonts w:hint="eastAsia" w:ascii="黑体" w:hAnsi="黑体" w:eastAsia="黑体" w:cs="Times New Roman"/>
                <w:sz w:val="24"/>
              </w:rPr>
              <w:t>方法</w:t>
            </w:r>
          </w:p>
        </w:tc>
        <w:tc>
          <w:tcPr>
            <w:tcW w:w="884" w:type="dxa"/>
            <w:vAlign w:val="center"/>
          </w:tcPr>
          <w:p>
            <w:pPr>
              <w:snapToGrid w:val="0"/>
              <w:spacing w:line="280" w:lineRule="exact"/>
              <w:jc w:val="center"/>
              <w:rPr>
                <w:rFonts w:ascii="黑体" w:hAnsi="黑体" w:eastAsia="黑体" w:cs="Times New Roman"/>
                <w:sz w:val="24"/>
                <w:szCs w:val="21"/>
              </w:rPr>
            </w:pPr>
            <w:r>
              <w:rPr>
                <w:rFonts w:hint="eastAsia" w:ascii="黑体" w:hAnsi="黑体" w:eastAsia="黑体" w:cs="Times New Roman"/>
                <w:sz w:val="24"/>
                <w:szCs w:val="21"/>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标志和说明</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7</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7</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对触及带电部件的防护</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8</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8</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电动器具的启动</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9</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9</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输入功率和电流</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10</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GB 4706.99-2009 10</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10</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GB 4706.99-2009 10</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发热</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11</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11</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工作温度下的泄漏电流和电气强度</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13</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13</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瞬态过电压</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14</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14</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耐潮湿</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15</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15</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泄漏电流和电气强度</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16</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16</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变压器和相关电路的过载保护</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17</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17</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耐久性</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18</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18</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12</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非正常工作（不包括19.11.4）</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19</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19</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13</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稳定性和机械危险</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20</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20</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14</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机械强度</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21</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21</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15</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结构（不包括22.46（含附录R））</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22</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22</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16</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内部布线</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23</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23</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17</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元件</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24</w:t>
            </w:r>
          </w:p>
        </w:tc>
        <w:tc>
          <w:tcPr>
            <w:tcW w:w="1265"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24</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18</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电源连接及外部软线</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25</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25</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19</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外部导线用接线端子</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26</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26</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20</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接地措施</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27</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27</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21</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螺钉和连接</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28</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28</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22</w:t>
            </w:r>
          </w:p>
        </w:tc>
        <w:tc>
          <w:tcPr>
            <w:tcW w:w="1554" w:type="dxa"/>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电气间隙、爬电距离和固体绝缘</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29</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29</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23</w:t>
            </w:r>
          </w:p>
        </w:tc>
        <w:tc>
          <w:tcPr>
            <w:tcW w:w="1554" w:type="dxa"/>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耐热和耐燃</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30</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30</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24</w:t>
            </w:r>
          </w:p>
        </w:tc>
        <w:tc>
          <w:tcPr>
            <w:tcW w:w="1554" w:type="dxa"/>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防锈</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31</w:t>
            </w:r>
          </w:p>
        </w:tc>
        <w:tc>
          <w:tcPr>
            <w:tcW w:w="1265"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31</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25</w:t>
            </w:r>
          </w:p>
        </w:tc>
        <w:tc>
          <w:tcPr>
            <w:tcW w:w="1554" w:type="dxa"/>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辐射、毒性和类似危险</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32</w:t>
            </w:r>
          </w:p>
        </w:tc>
        <w:tc>
          <w:tcPr>
            <w:tcW w:w="1265"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4706.99-2009 32</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bl>
    <w:p>
      <w:pPr>
        <w:snapToGrid w:val="0"/>
        <w:spacing w:line="360" w:lineRule="auto"/>
        <w:rPr>
          <w:rFonts w:ascii="仿宋_GB2312" w:hAnsi="宋体" w:eastAsia="仿宋_GB2312" w:cs="Times New Roman"/>
          <w:b/>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 xml:space="preserve"> 检验应注意的问题</w:t>
      </w:r>
    </w:p>
    <w:p>
      <w:pPr>
        <w:snapToGrid w:val="0"/>
        <w:spacing w:line="360" w:lineRule="auto"/>
        <w:rPr>
          <w:rFonts w:ascii="仿宋_GB2312" w:hAnsi="宋体" w:eastAsia="仿宋_GB2312" w:cs="Times New Roman"/>
          <w:iCs/>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.1</w:t>
      </w:r>
      <w:r>
        <w:rPr>
          <w:rFonts w:hint="eastAsia" w:ascii="仿宋_GB2312" w:hAnsi="Calibri"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sz w:val="28"/>
          <w:szCs w:val="28"/>
        </w:rPr>
        <w:t>备用</w:t>
      </w:r>
      <w:r>
        <w:rPr>
          <w:rFonts w:hint="eastAsia" w:ascii="仿宋_GB2312" w:hAnsi="宋体" w:eastAsia="仿宋_GB2312" w:cs="Times New Roman"/>
          <w:iCs/>
          <w:sz w:val="28"/>
          <w:szCs w:val="28"/>
        </w:rPr>
        <w:t>样品应该贮存在阴凉、干燥、安全、避光处，在整个保存期间应保证签封完整无损。</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6.2.3</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7 判定原则</w:t>
      </w:r>
    </w:p>
    <w:p>
      <w:pPr>
        <w:snapToGrid w:val="0"/>
        <w:spacing w:line="360" w:lineRule="auto"/>
        <w:ind w:firstLine="560" w:firstLineChars="200"/>
        <w:rPr>
          <w:rFonts w:ascii="仿宋_GB2312" w:hAnsi="Times New Roman"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8 异议处理复检</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w:t>
      </w:r>
      <w:r>
        <w:rPr>
          <w:rFonts w:ascii="仿宋_GB2312" w:eastAsia="仿宋_GB2312" w:cs="Sim Sun"/>
          <w:iCs/>
          <w:kern w:val="0"/>
          <w:sz w:val="28"/>
          <w:szCs w:val="28"/>
        </w:rPr>
        <w:t>可以自收到检验结果之日起15日内向</w:t>
      </w:r>
      <w:r>
        <w:rPr>
          <w:rFonts w:hint="eastAsia" w:ascii="仿宋_GB2312" w:eastAsia="仿宋_GB2312" w:cs="Sim Sun"/>
          <w:iCs/>
          <w:kern w:val="0"/>
          <w:sz w:val="28"/>
          <w:szCs w:val="28"/>
        </w:rPr>
        <w:t>深圳市市场监督管理局</w:t>
      </w:r>
      <w:r>
        <w:rPr>
          <w:rFonts w:ascii="仿宋_GB2312" w:eastAsia="仿宋_GB2312" w:cs="Sim Sun"/>
          <w:iCs/>
          <w:kern w:val="0"/>
          <w:sz w:val="28"/>
          <w:szCs w:val="28"/>
        </w:rPr>
        <w:t>提出书面复检申请。逾期未提出异议的，视为承认检验结果。</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ascii="仿宋_GB2312" w:eastAsia="仿宋_GB2312" w:cs="Sim Sun"/>
          <w:iCs/>
          <w:kern w:val="0"/>
          <w:sz w:val="28"/>
          <w:szCs w:val="28"/>
        </w:rPr>
        <w:t>检验机构</w:t>
      </w:r>
      <w:r>
        <w:rPr>
          <w:rFonts w:hint="eastAsia" w:ascii="仿宋_GB2312" w:eastAsia="仿宋_GB2312" w:cs="Sim Sun"/>
          <w:iCs/>
          <w:kern w:val="0"/>
          <w:sz w:val="28"/>
          <w:szCs w:val="28"/>
        </w:rPr>
        <w:t>接到深圳市市场监督管理局的复检通知后</w:t>
      </w:r>
      <w:r>
        <w:rPr>
          <w:rFonts w:ascii="仿宋_GB2312" w:eastAsia="仿宋_GB2312" w:cs="Sim Sun"/>
          <w:iCs/>
          <w:kern w:val="0"/>
          <w:sz w:val="28"/>
          <w:szCs w:val="28"/>
        </w:rPr>
        <w:t>应当按原监督抽查方案</w:t>
      </w:r>
      <w:r>
        <w:rPr>
          <w:rFonts w:hint="eastAsia" w:ascii="仿宋_GB2312" w:eastAsia="仿宋_GB2312" w:cs="Sim Sun"/>
          <w:iCs/>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28"/>
          <w:szCs w:val="28"/>
        </w:rPr>
        <w:t>的结论。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w:t>
      </w:r>
      <w:r>
        <w:rPr>
          <w:rFonts w:ascii="仿宋_GB2312" w:eastAsia="仿宋_GB2312" w:cs="Sim Sun"/>
          <w:b/>
          <w:kern w:val="0"/>
          <w:sz w:val="28"/>
          <w:szCs w:val="28"/>
        </w:rPr>
        <w:t>3</w:t>
      </w:r>
      <w:r>
        <w:rPr>
          <w:rFonts w:hint="eastAsia" w:ascii="仿宋_GB2312" w:eastAsia="仿宋_GB2312" w:cs="Sim Sun"/>
          <w:iCs/>
          <w:kern w:val="0"/>
          <w:sz w:val="28"/>
          <w:szCs w:val="28"/>
        </w:rPr>
        <w:t>复验</w:t>
      </w:r>
      <w:r>
        <w:rPr>
          <w:rFonts w:ascii="仿宋_GB2312" w:eastAsia="仿宋_GB2312" w:cs="Sim Sun"/>
          <w:iCs/>
          <w:kern w:val="0"/>
          <w:sz w:val="28"/>
          <w:szCs w:val="28"/>
        </w:rPr>
        <w:t>检验人员与初检检验人员不得为同一人。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8.4</w:t>
      </w:r>
      <w:r>
        <w:rPr>
          <w:rFonts w:hint="eastAsia" w:ascii="仿宋_GB2312" w:eastAsia="仿宋_GB2312" w:cs="Sim Sun"/>
          <w:kern w:val="0"/>
          <w:sz w:val="28"/>
          <w:szCs w:val="28"/>
        </w:rPr>
        <w:t>需对不合格项目复验时，按6.1选择复检样品。当复检结果仍不合格，维持原检验结果不变。当复检结果合格，以复检结果为准。</w:t>
      </w:r>
    </w:p>
    <w:p>
      <w:pPr>
        <w:snapToGrid w:val="0"/>
        <w:spacing w:line="360" w:lineRule="auto"/>
        <w:rPr>
          <w:rFonts w:ascii="仿宋_GB2312" w:eastAsia="仿宋_GB2312" w:cs="Sim Sun"/>
          <w:b/>
          <w:iCs/>
          <w:kern w:val="0"/>
          <w:sz w:val="28"/>
          <w:szCs w:val="28"/>
        </w:rPr>
      </w:pPr>
      <w:r>
        <w:rPr>
          <w:rFonts w:hint="eastAsia" w:ascii="仿宋_GB2312" w:eastAsia="仿宋_GB2312" w:cs="Sim Sun"/>
          <w:b/>
          <w:iCs/>
          <w:kern w:val="0"/>
          <w:sz w:val="28"/>
          <w:szCs w:val="28"/>
        </w:rPr>
        <w:t>8.</w:t>
      </w:r>
      <w:r>
        <w:rPr>
          <w:rFonts w:ascii="仿宋_GB2312" w:eastAsia="仿宋_GB2312" w:cs="Sim Sun"/>
          <w:b/>
          <w:iCs/>
          <w:kern w:val="0"/>
          <w:sz w:val="28"/>
          <w:szCs w:val="28"/>
        </w:rPr>
        <w:t>5</w:t>
      </w:r>
      <w:r>
        <w:rPr>
          <w:rFonts w:ascii="仿宋_GB2312" w:eastAsia="仿宋_GB2312" w:cs="Sim Sun"/>
          <w:kern w:val="0"/>
          <w:sz w:val="28"/>
          <w:szCs w:val="28"/>
        </w:rPr>
        <w:t>采用备样复验时，</w:t>
      </w:r>
      <w:r>
        <w:rPr>
          <w:rFonts w:hint="eastAsia" w:ascii="仿宋_GB2312" w:eastAsia="仿宋_GB2312" w:cs="Sim Sun"/>
          <w:kern w:val="0"/>
          <w:sz w:val="28"/>
          <w:szCs w:val="28"/>
        </w:rPr>
        <w:t>若备样与原样的结构、布线、元器件等不一致时，检验结果以原检验结果为准。</w:t>
      </w:r>
    </w:p>
    <w:p>
      <w:pPr>
        <w:snapToGrid w:val="0"/>
        <w:spacing w:line="360" w:lineRule="auto"/>
        <w:rPr>
          <w:rFonts w:ascii="仿宋_GB2312" w:eastAsia="仿宋_GB2312" w:cs="Sim Sun"/>
          <w:iCs/>
          <w:kern w:val="0"/>
          <w:sz w:val="28"/>
          <w:szCs w:val="28"/>
        </w:rPr>
      </w:pPr>
      <w:r>
        <w:rPr>
          <w:rFonts w:hint="eastAsia" w:ascii="仿宋_GB2312" w:eastAsia="仿宋_GB2312" w:cs="Sim Sun"/>
          <w:b/>
          <w:iCs/>
          <w:kern w:val="0"/>
          <w:sz w:val="28"/>
          <w:szCs w:val="28"/>
        </w:rPr>
        <w:t>8.</w:t>
      </w:r>
      <w:r>
        <w:rPr>
          <w:rFonts w:ascii="仿宋_GB2312" w:eastAsia="仿宋_GB2312" w:cs="Sim Sun"/>
          <w:b/>
          <w:iCs/>
          <w:kern w:val="0"/>
          <w:sz w:val="28"/>
          <w:szCs w:val="28"/>
        </w:rPr>
        <w:t>6</w:t>
      </w:r>
      <w:r>
        <w:rPr>
          <w:rFonts w:hint="eastAsia" w:ascii="仿宋_GB2312" w:eastAsia="仿宋_GB2312" w:cs="Sim Sun"/>
          <w:iCs/>
          <w:kern w:val="0"/>
          <w:sz w:val="28"/>
          <w:szCs w:val="28"/>
        </w:rPr>
        <w:t>深圳市市场监督管理局根据初检</w:t>
      </w:r>
      <w:r>
        <w:rPr>
          <w:rFonts w:ascii="仿宋_GB2312" w:eastAsia="仿宋_GB2312" w:cs="Sim Sun"/>
          <w:iCs/>
          <w:kern w:val="0"/>
          <w:sz w:val="28"/>
          <w:szCs w:val="28"/>
        </w:rPr>
        <w:t>、复</w:t>
      </w:r>
      <w:r>
        <w:rPr>
          <w:rFonts w:hint="eastAsia" w:ascii="仿宋_GB2312" w:eastAsia="仿宋_GB2312" w:cs="Sim Sun"/>
          <w:iCs/>
          <w:kern w:val="0"/>
          <w:sz w:val="28"/>
          <w:szCs w:val="28"/>
        </w:rPr>
        <w:t>验</w:t>
      </w:r>
      <w:r>
        <w:rPr>
          <w:rFonts w:ascii="仿宋_GB2312" w:eastAsia="仿宋_GB2312" w:cs="Sim Sun"/>
          <w:iCs/>
          <w:kern w:val="0"/>
          <w:sz w:val="28"/>
          <w:szCs w:val="28"/>
        </w:rPr>
        <w:t>结果及企业提交的</w:t>
      </w:r>
      <w:r>
        <w:rPr>
          <w:rFonts w:hint="eastAsia" w:ascii="仿宋_GB2312" w:eastAsia="仿宋_GB2312" w:cs="Sim Sun"/>
          <w:iCs/>
          <w:kern w:val="0"/>
          <w:sz w:val="28"/>
          <w:szCs w:val="28"/>
        </w:rPr>
        <w:t>证明</w:t>
      </w:r>
      <w:r>
        <w:rPr>
          <w:rFonts w:ascii="仿宋_GB2312" w:eastAsia="仿宋_GB2312" w:cs="Sim Sun"/>
          <w:iCs/>
          <w:kern w:val="0"/>
          <w:sz w:val="28"/>
          <w:szCs w:val="28"/>
        </w:rPr>
        <w:t>材料，做出复检结论</w:t>
      </w:r>
      <w:r>
        <w:rPr>
          <w:rFonts w:hint="eastAsia" w:ascii="仿宋_GB2312" w:eastAsia="仿宋_GB2312" w:cs="Sim Sun"/>
          <w:iCs/>
          <w:kern w:val="0"/>
          <w:sz w:val="28"/>
          <w:szCs w:val="28"/>
        </w:rPr>
        <w:t>，</w:t>
      </w:r>
      <w:r>
        <w:rPr>
          <w:rFonts w:ascii="仿宋_GB2312" w:eastAsia="仿宋_GB2312" w:cs="Sim Sun"/>
          <w:iCs/>
          <w:kern w:val="0"/>
          <w:sz w:val="28"/>
          <w:szCs w:val="28"/>
        </w:rPr>
        <w:t>复检结论为最终结论。</w:t>
      </w:r>
    </w:p>
    <w:p>
      <w:pPr>
        <w:snapToGrid w:val="0"/>
        <w:spacing w:line="360" w:lineRule="auto"/>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 xml:space="preserve"> 附则</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p>
      <w:pPr>
        <w:widowControl/>
        <w:jc w:val="left"/>
        <w:rPr>
          <w:rFonts w:ascii="黑体" w:hAnsi="宋体" w:eastAsia="黑体"/>
          <w:sz w:val="32"/>
          <w:szCs w:val="32"/>
        </w:rPr>
      </w:pPr>
    </w:p>
    <w:p>
      <w:pPr>
        <w:widowControl/>
        <w:jc w:val="left"/>
      </w:pPr>
      <w:bookmarkStart w:id="0" w:name="_GoBack"/>
      <w:bookmarkEnd w:id="0"/>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仿宋_GB2312"/>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22BF"/>
    <w:rsid w:val="00001787"/>
    <w:rsid w:val="00010E99"/>
    <w:rsid w:val="000110AA"/>
    <w:rsid w:val="0001674B"/>
    <w:rsid w:val="00033972"/>
    <w:rsid w:val="0005794C"/>
    <w:rsid w:val="000674CE"/>
    <w:rsid w:val="00067AC0"/>
    <w:rsid w:val="00076715"/>
    <w:rsid w:val="00077B79"/>
    <w:rsid w:val="00077BBF"/>
    <w:rsid w:val="00082B83"/>
    <w:rsid w:val="000B131A"/>
    <w:rsid w:val="000B16D8"/>
    <w:rsid w:val="000B210F"/>
    <w:rsid w:val="000B2AF5"/>
    <w:rsid w:val="000C4BE1"/>
    <w:rsid w:val="000C547A"/>
    <w:rsid w:val="000D0D07"/>
    <w:rsid w:val="000D530A"/>
    <w:rsid w:val="000E438D"/>
    <w:rsid w:val="00102698"/>
    <w:rsid w:val="00102737"/>
    <w:rsid w:val="00114185"/>
    <w:rsid w:val="001151E9"/>
    <w:rsid w:val="00121663"/>
    <w:rsid w:val="001259A6"/>
    <w:rsid w:val="0012634A"/>
    <w:rsid w:val="00130417"/>
    <w:rsid w:val="00146DDE"/>
    <w:rsid w:val="0018554E"/>
    <w:rsid w:val="001862D7"/>
    <w:rsid w:val="00186528"/>
    <w:rsid w:val="00186940"/>
    <w:rsid w:val="00192EB6"/>
    <w:rsid w:val="001A0E1F"/>
    <w:rsid w:val="001A1E04"/>
    <w:rsid w:val="001B619C"/>
    <w:rsid w:val="001D1CAA"/>
    <w:rsid w:val="001D4B33"/>
    <w:rsid w:val="001D569E"/>
    <w:rsid w:val="001E4633"/>
    <w:rsid w:val="001F1BB9"/>
    <w:rsid w:val="00200B36"/>
    <w:rsid w:val="002038B4"/>
    <w:rsid w:val="002073BD"/>
    <w:rsid w:val="002267ED"/>
    <w:rsid w:val="0024599A"/>
    <w:rsid w:val="00255F86"/>
    <w:rsid w:val="00281141"/>
    <w:rsid w:val="00286422"/>
    <w:rsid w:val="0029204E"/>
    <w:rsid w:val="002D78C8"/>
    <w:rsid w:val="002E6260"/>
    <w:rsid w:val="002F121A"/>
    <w:rsid w:val="002F349C"/>
    <w:rsid w:val="002F6648"/>
    <w:rsid w:val="00301611"/>
    <w:rsid w:val="003126F2"/>
    <w:rsid w:val="00313C47"/>
    <w:rsid w:val="00315334"/>
    <w:rsid w:val="00320794"/>
    <w:rsid w:val="00323C30"/>
    <w:rsid w:val="00324480"/>
    <w:rsid w:val="00326A6F"/>
    <w:rsid w:val="003364DB"/>
    <w:rsid w:val="00353E80"/>
    <w:rsid w:val="003578FE"/>
    <w:rsid w:val="00357D4E"/>
    <w:rsid w:val="00372B20"/>
    <w:rsid w:val="00380862"/>
    <w:rsid w:val="00382114"/>
    <w:rsid w:val="00387351"/>
    <w:rsid w:val="0039238C"/>
    <w:rsid w:val="003A60F9"/>
    <w:rsid w:val="003A71FB"/>
    <w:rsid w:val="003A7CCC"/>
    <w:rsid w:val="003B058E"/>
    <w:rsid w:val="003B6350"/>
    <w:rsid w:val="003C05EF"/>
    <w:rsid w:val="003C4820"/>
    <w:rsid w:val="003D65ED"/>
    <w:rsid w:val="003D6823"/>
    <w:rsid w:val="003D7F33"/>
    <w:rsid w:val="003E1FE8"/>
    <w:rsid w:val="003E71F8"/>
    <w:rsid w:val="003E76B9"/>
    <w:rsid w:val="00412A40"/>
    <w:rsid w:val="00413772"/>
    <w:rsid w:val="00427349"/>
    <w:rsid w:val="00435FC8"/>
    <w:rsid w:val="00440698"/>
    <w:rsid w:val="0044674D"/>
    <w:rsid w:val="0044778D"/>
    <w:rsid w:val="00456B19"/>
    <w:rsid w:val="004606F2"/>
    <w:rsid w:val="004775C0"/>
    <w:rsid w:val="00487D14"/>
    <w:rsid w:val="00490A30"/>
    <w:rsid w:val="004A1CEA"/>
    <w:rsid w:val="004A2011"/>
    <w:rsid w:val="004A25F4"/>
    <w:rsid w:val="004A41CD"/>
    <w:rsid w:val="004A4F0B"/>
    <w:rsid w:val="004A71BA"/>
    <w:rsid w:val="004B314F"/>
    <w:rsid w:val="004B39BB"/>
    <w:rsid w:val="004C2C36"/>
    <w:rsid w:val="004C4B4E"/>
    <w:rsid w:val="004D0AFB"/>
    <w:rsid w:val="004D2D47"/>
    <w:rsid w:val="004D7E71"/>
    <w:rsid w:val="004E00F7"/>
    <w:rsid w:val="004E4C6D"/>
    <w:rsid w:val="004F46AD"/>
    <w:rsid w:val="0050038E"/>
    <w:rsid w:val="00503D25"/>
    <w:rsid w:val="0052200F"/>
    <w:rsid w:val="00522637"/>
    <w:rsid w:val="00527C1E"/>
    <w:rsid w:val="005311E4"/>
    <w:rsid w:val="005348AA"/>
    <w:rsid w:val="00562E6F"/>
    <w:rsid w:val="005751C7"/>
    <w:rsid w:val="0058247F"/>
    <w:rsid w:val="005877EB"/>
    <w:rsid w:val="00592A95"/>
    <w:rsid w:val="005A27AF"/>
    <w:rsid w:val="005B3DFA"/>
    <w:rsid w:val="005B6033"/>
    <w:rsid w:val="005B6579"/>
    <w:rsid w:val="005C3281"/>
    <w:rsid w:val="005C7CE2"/>
    <w:rsid w:val="005D2713"/>
    <w:rsid w:val="005D3BB6"/>
    <w:rsid w:val="005D674E"/>
    <w:rsid w:val="005E3E61"/>
    <w:rsid w:val="006011D5"/>
    <w:rsid w:val="00601E00"/>
    <w:rsid w:val="006045D8"/>
    <w:rsid w:val="0062629C"/>
    <w:rsid w:val="006273E9"/>
    <w:rsid w:val="00631657"/>
    <w:rsid w:val="00655194"/>
    <w:rsid w:val="0065526C"/>
    <w:rsid w:val="006651B7"/>
    <w:rsid w:val="00666091"/>
    <w:rsid w:val="0067303B"/>
    <w:rsid w:val="00682915"/>
    <w:rsid w:val="006A417C"/>
    <w:rsid w:val="006A4F67"/>
    <w:rsid w:val="006D2EAA"/>
    <w:rsid w:val="006D57A9"/>
    <w:rsid w:val="006E3BEE"/>
    <w:rsid w:val="00703B9A"/>
    <w:rsid w:val="007062C8"/>
    <w:rsid w:val="0071466C"/>
    <w:rsid w:val="0071627B"/>
    <w:rsid w:val="00727420"/>
    <w:rsid w:val="00734FA0"/>
    <w:rsid w:val="00742FA0"/>
    <w:rsid w:val="00743E75"/>
    <w:rsid w:val="00744887"/>
    <w:rsid w:val="00750ECF"/>
    <w:rsid w:val="00753278"/>
    <w:rsid w:val="00754034"/>
    <w:rsid w:val="00755A70"/>
    <w:rsid w:val="00755EEF"/>
    <w:rsid w:val="00757D04"/>
    <w:rsid w:val="00766A01"/>
    <w:rsid w:val="007712E8"/>
    <w:rsid w:val="007967FD"/>
    <w:rsid w:val="007A6A11"/>
    <w:rsid w:val="007C3A6A"/>
    <w:rsid w:val="007C5301"/>
    <w:rsid w:val="007D4F72"/>
    <w:rsid w:val="007D7F57"/>
    <w:rsid w:val="0080035A"/>
    <w:rsid w:val="00803BB7"/>
    <w:rsid w:val="00812147"/>
    <w:rsid w:val="008162A2"/>
    <w:rsid w:val="008230DD"/>
    <w:rsid w:val="00824487"/>
    <w:rsid w:val="00825132"/>
    <w:rsid w:val="00841833"/>
    <w:rsid w:val="00846E02"/>
    <w:rsid w:val="00847DE7"/>
    <w:rsid w:val="00874B2A"/>
    <w:rsid w:val="0088232D"/>
    <w:rsid w:val="00882FF8"/>
    <w:rsid w:val="00885DF0"/>
    <w:rsid w:val="0088681C"/>
    <w:rsid w:val="00890274"/>
    <w:rsid w:val="00895F13"/>
    <w:rsid w:val="008B5C8A"/>
    <w:rsid w:val="008C0AC5"/>
    <w:rsid w:val="008C2C04"/>
    <w:rsid w:val="008C471C"/>
    <w:rsid w:val="008C6203"/>
    <w:rsid w:val="008F0EEA"/>
    <w:rsid w:val="008F2CA7"/>
    <w:rsid w:val="00901792"/>
    <w:rsid w:val="00907075"/>
    <w:rsid w:val="00913444"/>
    <w:rsid w:val="009152A1"/>
    <w:rsid w:val="009232F7"/>
    <w:rsid w:val="00932E25"/>
    <w:rsid w:val="009403BD"/>
    <w:rsid w:val="00947304"/>
    <w:rsid w:val="009664F0"/>
    <w:rsid w:val="00976EDC"/>
    <w:rsid w:val="0098358F"/>
    <w:rsid w:val="00992DF9"/>
    <w:rsid w:val="009973AF"/>
    <w:rsid w:val="009A060C"/>
    <w:rsid w:val="009A1678"/>
    <w:rsid w:val="009A6B9A"/>
    <w:rsid w:val="009A7189"/>
    <w:rsid w:val="009B450E"/>
    <w:rsid w:val="009C0651"/>
    <w:rsid w:val="009C261D"/>
    <w:rsid w:val="009D343A"/>
    <w:rsid w:val="009E1028"/>
    <w:rsid w:val="009F0A2C"/>
    <w:rsid w:val="009F52B0"/>
    <w:rsid w:val="00A028AC"/>
    <w:rsid w:val="00A2052A"/>
    <w:rsid w:val="00A27882"/>
    <w:rsid w:val="00A33E41"/>
    <w:rsid w:val="00A41155"/>
    <w:rsid w:val="00A42A5F"/>
    <w:rsid w:val="00A439D1"/>
    <w:rsid w:val="00A464EE"/>
    <w:rsid w:val="00A51CA7"/>
    <w:rsid w:val="00A52351"/>
    <w:rsid w:val="00A63279"/>
    <w:rsid w:val="00A63B94"/>
    <w:rsid w:val="00A671BD"/>
    <w:rsid w:val="00A67DEF"/>
    <w:rsid w:val="00A8004D"/>
    <w:rsid w:val="00A80C1A"/>
    <w:rsid w:val="00A82846"/>
    <w:rsid w:val="00A83288"/>
    <w:rsid w:val="00A85701"/>
    <w:rsid w:val="00A85A10"/>
    <w:rsid w:val="00AA7007"/>
    <w:rsid w:val="00AB208E"/>
    <w:rsid w:val="00AB2A12"/>
    <w:rsid w:val="00AB5EA8"/>
    <w:rsid w:val="00AC47DC"/>
    <w:rsid w:val="00AC7B06"/>
    <w:rsid w:val="00AD21EC"/>
    <w:rsid w:val="00AF65D0"/>
    <w:rsid w:val="00B052A5"/>
    <w:rsid w:val="00B07E16"/>
    <w:rsid w:val="00B227C1"/>
    <w:rsid w:val="00B24559"/>
    <w:rsid w:val="00B24D2A"/>
    <w:rsid w:val="00B25008"/>
    <w:rsid w:val="00B300E3"/>
    <w:rsid w:val="00B31764"/>
    <w:rsid w:val="00B32A48"/>
    <w:rsid w:val="00B33B24"/>
    <w:rsid w:val="00B37FCA"/>
    <w:rsid w:val="00B46780"/>
    <w:rsid w:val="00B57B21"/>
    <w:rsid w:val="00B66417"/>
    <w:rsid w:val="00B70E3A"/>
    <w:rsid w:val="00B722BF"/>
    <w:rsid w:val="00B75063"/>
    <w:rsid w:val="00B935D9"/>
    <w:rsid w:val="00B94D91"/>
    <w:rsid w:val="00B96FBE"/>
    <w:rsid w:val="00BB05AE"/>
    <w:rsid w:val="00BB1001"/>
    <w:rsid w:val="00BB4C46"/>
    <w:rsid w:val="00BC124A"/>
    <w:rsid w:val="00BC23D8"/>
    <w:rsid w:val="00BD072E"/>
    <w:rsid w:val="00BE085C"/>
    <w:rsid w:val="00BE2755"/>
    <w:rsid w:val="00BE57B5"/>
    <w:rsid w:val="00BF0FA8"/>
    <w:rsid w:val="00BF36A5"/>
    <w:rsid w:val="00BF7E83"/>
    <w:rsid w:val="00C014D9"/>
    <w:rsid w:val="00C109ED"/>
    <w:rsid w:val="00C12E1A"/>
    <w:rsid w:val="00C136FC"/>
    <w:rsid w:val="00C13DF4"/>
    <w:rsid w:val="00C14538"/>
    <w:rsid w:val="00C17243"/>
    <w:rsid w:val="00C23698"/>
    <w:rsid w:val="00C260D9"/>
    <w:rsid w:val="00C30CA6"/>
    <w:rsid w:val="00C33661"/>
    <w:rsid w:val="00C42E9B"/>
    <w:rsid w:val="00C44636"/>
    <w:rsid w:val="00C45264"/>
    <w:rsid w:val="00C45ABB"/>
    <w:rsid w:val="00C47895"/>
    <w:rsid w:val="00C52091"/>
    <w:rsid w:val="00C5373D"/>
    <w:rsid w:val="00C5446A"/>
    <w:rsid w:val="00C96D66"/>
    <w:rsid w:val="00CA5324"/>
    <w:rsid w:val="00CB12F4"/>
    <w:rsid w:val="00CB2D77"/>
    <w:rsid w:val="00CB75C0"/>
    <w:rsid w:val="00CC01C2"/>
    <w:rsid w:val="00CC092D"/>
    <w:rsid w:val="00CD4E79"/>
    <w:rsid w:val="00CE55E0"/>
    <w:rsid w:val="00CF4454"/>
    <w:rsid w:val="00D03906"/>
    <w:rsid w:val="00D13790"/>
    <w:rsid w:val="00D24F56"/>
    <w:rsid w:val="00D260CD"/>
    <w:rsid w:val="00D331DE"/>
    <w:rsid w:val="00D425EA"/>
    <w:rsid w:val="00D500BC"/>
    <w:rsid w:val="00D56744"/>
    <w:rsid w:val="00D73287"/>
    <w:rsid w:val="00D810BB"/>
    <w:rsid w:val="00D82BC2"/>
    <w:rsid w:val="00D84894"/>
    <w:rsid w:val="00D85A20"/>
    <w:rsid w:val="00D86216"/>
    <w:rsid w:val="00D92E01"/>
    <w:rsid w:val="00DB068B"/>
    <w:rsid w:val="00DB5A4A"/>
    <w:rsid w:val="00DC6338"/>
    <w:rsid w:val="00DD0A22"/>
    <w:rsid w:val="00DD18A4"/>
    <w:rsid w:val="00DD3AD5"/>
    <w:rsid w:val="00DD593B"/>
    <w:rsid w:val="00DD6F7B"/>
    <w:rsid w:val="00DF3A00"/>
    <w:rsid w:val="00DF7A37"/>
    <w:rsid w:val="00E00BA9"/>
    <w:rsid w:val="00E054B4"/>
    <w:rsid w:val="00E16C64"/>
    <w:rsid w:val="00E25119"/>
    <w:rsid w:val="00E31C91"/>
    <w:rsid w:val="00E31DA4"/>
    <w:rsid w:val="00E402B5"/>
    <w:rsid w:val="00E51883"/>
    <w:rsid w:val="00E67A8D"/>
    <w:rsid w:val="00E85CA1"/>
    <w:rsid w:val="00E90ABE"/>
    <w:rsid w:val="00E95C27"/>
    <w:rsid w:val="00EA3E4E"/>
    <w:rsid w:val="00ED10BB"/>
    <w:rsid w:val="00EE2E87"/>
    <w:rsid w:val="00EE55B7"/>
    <w:rsid w:val="00EF07E7"/>
    <w:rsid w:val="00F02585"/>
    <w:rsid w:val="00F03917"/>
    <w:rsid w:val="00F059EE"/>
    <w:rsid w:val="00F13418"/>
    <w:rsid w:val="00F208CA"/>
    <w:rsid w:val="00F264E5"/>
    <w:rsid w:val="00F339C2"/>
    <w:rsid w:val="00F41828"/>
    <w:rsid w:val="00F43092"/>
    <w:rsid w:val="00F57A19"/>
    <w:rsid w:val="00F6509D"/>
    <w:rsid w:val="00F7163A"/>
    <w:rsid w:val="00F766E8"/>
    <w:rsid w:val="00F83F26"/>
    <w:rsid w:val="00F84E81"/>
    <w:rsid w:val="00F86C9D"/>
    <w:rsid w:val="00FA5735"/>
    <w:rsid w:val="00FB237B"/>
    <w:rsid w:val="00FB276E"/>
    <w:rsid w:val="00FC68B5"/>
    <w:rsid w:val="00FD188A"/>
    <w:rsid w:val="00FE22E9"/>
    <w:rsid w:val="00FE3777"/>
    <w:rsid w:val="00FF1869"/>
    <w:rsid w:val="248F463D"/>
    <w:rsid w:val="7D1570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2"/>
    <w:unhideWhenUsed/>
    <w:qFormat/>
    <w:uiPriority w:val="99"/>
    <w:rPr>
      <w:rFonts w:asciiTheme="minorHAnsi" w:hAnsiTheme="minorHAnsi" w:eastAsiaTheme="minorEastAsia" w:cstheme="minorBidi"/>
      <w:b/>
      <w:bCs/>
      <w:szCs w:val="22"/>
    </w:rPr>
  </w:style>
  <w:style w:type="paragraph" w:styleId="3">
    <w:name w:val="annotation text"/>
    <w:basedOn w:val="1"/>
    <w:link w:val="27"/>
    <w:uiPriority w:val="0"/>
    <w:pPr>
      <w:jc w:val="left"/>
    </w:pPr>
    <w:rPr>
      <w:rFonts w:ascii="Times New Roman" w:hAnsi="Times New Roman" w:eastAsia="宋体" w:cs="Times New Roman"/>
      <w:szCs w:val="24"/>
    </w:rPr>
  </w:style>
  <w:style w:type="paragraph" w:styleId="4">
    <w:name w:val="Body Text Indent"/>
    <w:basedOn w:val="1"/>
    <w:link w:val="21"/>
    <w:qFormat/>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24"/>
    <w:uiPriority w:val="0"/>
    <w:rPr>
      <w:rFonts w:ascii="宋体" w:hAnsi="Courier New" w:eastAsia="宋体" w:cs="Times New Roman"/>
      <w:szCs w:val="21"/>
    </w:rPr>
  </w:style>
  <w:style w:type="paragraph" w:styleId="6">
    <w:name w:val="Body Text Indent 2"/>
    <w:basedOn w:val="1"/>
    <w:link w:val="25"/>
    <w:qFormat/>
    <w:uiPriority w:val="0"/>
    <w:pPr>
      <w:spacing w:after="120" w:line="480" w:lineRule="auto"/>
      <w:ind w:left="420" w:leftChars="200"/>
    </w:pPr>
    <w:rPr>
      <w:rFonts w:ascii="Times New Roman" w:hAnsi="Times New Roman" w:eastAsia="宋体" w:cs="Times New Roman"/>
      <w:szCs w:val="24"/>
    </w:rPr>
  </w:style>
  <w:style w:type="paragraph" w:styleId="7">
    <w:name w:val="Balloon Text"/>
    <w:basedOn w:val="1"/>
    <w:link w:val="22"/>
    <w:semiHidden/>
    <w:qFormat/>
    <w:uiPriority w:val="0"/>
    <w:rPr>
      <w:rFonts w:ascii="Times New Roman" w:hAnsi="Times New Roman" w:eastAsia="宋体" w:cs="Times New Roman"/>
      <w:sz w:val="18"/>
      <w:szCs w:val="18"/>
    </w:rPr>
  </w:style>
  <w:style w:type="paragraph" w:styleId="8">
    <w:name w:val="footer"/>
    <w:basedOn w:val="1"/>
    <w:link w:val="18"/>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19"/>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0">
    <w:name w:val="Body Text Indent 3"/>
    <w:basedOn w:val="1"/>
    <w:link w:val="26"/>
    <w:qFormat/>
    <w:uiPriority w:val="0"/>
    <w:pPr>
      <w:spacing w:after="120"/>
      <w:ind w:left="420" w:leftChars="200"/>
    </w:pPr>
    <w:rPr>
      <w:rFonts w:ascii="Times New Roman" w:hAnsi="Times New Roman" w:eastAsia="宋体" w:cs="Times New Roman"/>
      <w:sz w:val="16"/>
      <w:szCs w:val="16"/>
    </w:rPr>
  </w:style>
  <w:style w:type="paragraph" w:styleId="11">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qFormat/>
    <w:uiPriority w:val="0"/>
    <w:rPr>
      <w:b/>
      <w:bCs/>
    </w:rPr>
  </w:style>
  <w:style w:type="character" w:styleId="14">
    <w:name w:val="page number"/>
    <w:basedOn w:val="12"/>
    <w:qFormat/>
    <w:uiPriority w:val="0"/>
  </w:style>
  <w:style w:type="character" w:styleId="15">
    <w:name w:val="annotation reference"/>
    <w:basedOn w:val="12"/>
    <w:qFormat/>
    <w:uiPriority w:val="0"/>
    <w:rPr>
      <w:sz w:val="21"/>
      <w:szCs w:val="21"/>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脚 Char"/>
    <w:basedOn w:val="12"/>
    <w:link w:val="8"/>
    <w:qFormat/>
    <w:uiPriority w:val="0"/>
    <w:rPr>
      <w:rFonts w:ascii="Times New Roman" w:hAnsi="Times New Roman" w:eastAsia="宋体" w:cs="Times New Roman"/>
      <w:sz w:val="18"/>
      <w:szCs w:val="18"/>
    </w:rPr>
  </w:style>
  <w:style w:type="character" w:customStyle="1" w:styleId="19">
    <w:name w:val="页眉 Char"/>
    <w:basedOn w:val="12"/>
    <w:link w:val="9"/>
    <w:uiPriority w:val="99"/>
    <w:rPr>
      <w:rFonts w:cs="Times New Roman" w:asciiTheme="majorEastAsia" w:hAnsiTheme="majorEastAsia" w:eastAsiaTheme="majorEastAsia"/>
      <w:b/>
      <w:szCs w:val="21"/>
    </w:rPr>
  </w:style>
  <w:style w:type="paragraph" w:customStyle="1" w:styleId="20">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1">
    <w:name w:val="正文文本缩进 Char"/>
    <w:basedOn w:val="12"/>
    <w:link w:val="4"/>
    <w:qFormat/>
    <w:uiPriority w:val="0"/>
    <w:rPr>
      <w:rFonts w:ascii="Times New Roman" w:hAnsi="Times New Roman" w:eastAsia="宋体" w:cs="Times New Roman"/>
      <w:kern w:val="0"/>
      <w:sz w:val="24"/>
      <w:szCs w:val="20"/>
    </w:rPr>
  </w:style>
  <w:style w:type="character" w:customStyle="1" w:styleId="22">
    <w:name w:val="批注框文本 Char"/>
    <w:basedOn w:val="12"/>
    <w:link w:val="7"/>
    <w:semiHidden/>
    <w:qFormat/>
    <w:uiPriority w:val="0"/>
    <w:rPr>
      <w:rFonts w:ascii="Times New Roman" w:hAnsi="Times New Roman" w:eastAsia="宋体" w:cs="Times New Roman"/>
      <w:sz w:val="18"/>
      <w:szCs w:val="18"/>
    </w:rPr>
  </w:style>
  <w:style w:type="paragraph" w:customStyle="1" w:styleId="23">
    <w:name w:val="Char1"/>
    <w:basedOn w:val="1"/>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4">
    <w:name w:val="纯文本 Char"/>
    <w:basedOn w:val="12"/>
    <w:link w:val="5"/>
    <w:qFormat/>
    <w:uiPriority w:val="0"/>
    <w:rPr>
      <w:rFonts w:ascii="宋体" w:hAnsi="Courier New" w:eastAsia="宋体" w:cs="Times New Roman"/>
      <w:szCs w:val="21"/>
    </w:rPr>
  </w:style>
  <w:style w:type="character" w:customStyle="1" w:styleId="25">
    <w:name w:val="正文文本缩进 2 Char"/>
    <w:basedOn w:val="12"/>
    <w:link w:val="6"/>
    <w:uiPriority w:val="0"/>
    <w:rPr>
      <w:rFonts w:ascii="Times New Roman" w:hAnsi="Times New Roman" w:eastAsia="宋体" w:cs="Times New Roman"/>
      <w:szCs w:val="24"/>
    </w:rPr>
  </w:style>
  <w:style w:type="character" w:customStyle="1" w:styleId="26">
    <w:name w:val="正文文本缩进 3 Char"/>
    <w:basedOn w:val="12"/>
    <w:link w:val="10"/>
    <w:qFormat/>
    <w:uiPriority w:val="0"/>
    <w:rPr>
      <w:rFonts w:ascii="Times New Roman" w:hAnsi="Times New Roman" w:eastAsia="宋体" w:cs="Times New Roman"/>
      <w:sz w:val="16"/>
      <w:szCs w:val="16"/>
    </w:rPr>
  </w:style>
  <w:style w:type="character" w:customStyle="1" w:styleId="27">
    <w:name w:val="批注文字 Char"/>
    <w:basedOn w:val="12"/>
    <w:link w:val="3"/>
    <w:qFormat/>
    <w:uiPriority w:val="0"/>
    <w:rPr>
      <w:rFonts w:ascii="Times New Roman" w:hAnsi="Times New Roman" w:eastAsia="宋体" w:cs="Times New Roman"/>
      <w:szCs w:val="24"/>
    </w:rPr>
  </w:style>
  <w:style w:type="paragraph" w:customStyle="1" w:styleId="28">
    <w:name w:val="表格"/>
    <w:basedOn w:val="1"/>
    <w:link w:val="29"/>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29">
    <w:name w:val="表格 Char"/>
    <w:link w:val="28"/>
    <w:qFormat/>
    <w:uiPriority w:val="0"/>
    <w:rPr>
      <w:rFonts w:ascii="仿宋_GB2312" w:hAnsi="Times New Roman" w:eastAsia="宋体" w:cs="Times New Roman"/>
      <w:color w:val="000000"/>
      <w:kern w:val="0"/>
      <w:szCs w:val="24"/>
    </w:rPr>
  </w:style>
  <w:style w:type="paragraph" w:customStyle="1" w:styleId="30">
    <w:name w:val="List Paragraph"/>
    <w:basedOn w:val="1"/>
    <w:qFormat/>
    <w:uiPriority w:val="34"/>
    <w:pPr>
      <w:ind w:firstLine="420" w:firstLineChars="200"/>
    </w:pPr>
    <w:rPr>
      <w:rFonts w:ascii="Times New Roman" w:hAnsi="Times New Roman" w:eastAsia="宋体" w:cs="Times New Roman"/>
      <w:szCs w:val="24"/>
    </w:rPr>
  </w:style>
  <w:style w:type="paragraph" w:customStyle="1" w:styleId="31">
    <w:name w:val="p0"/>
    <w:basedOn w:val="1"/>
    <w:qFormat/>
    <w:uiPriority w:val="0"/>
    <w:pPr>
      <w:widowControl/>
    </w:pPr>
    <w:rPr>
      <w:rFonts w:ascii="Times New Roman" w:hAnsi="Times New Roman" w:eastAsia="宋体" w:cs="Times New Roman"/>
      <w:kern w:val="0"/>
      <w:szCs w:val="21"/>
    </w:rPr>
  </w:style>
  <w:style w:type="character" w:customStyle="1" w:styleId="32">
    <w:name w:val="批注主题 Char"/>
    <w:basedOn w:val="27"/>
    <w:link w:val="2"/>
    <w:semiHidden/>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0A0F81-8346-45F8-BFEC-441A31011D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3375</Words>
  <Characters>19241</Characters>
  <Lines>160</Lines>
  <Paragraphs>45</Paragraphs>
  <ScaleCrop>false</ScaleCrop>
  <LinksUpToDate>false</LinksUpToDate>
  <CharactersWithSpaces>22571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2019-05-27T05:52:00Z</dcterms:created>
  <dc:creator>sunjp</dc:creator>
  <cp:lastModifiedBy>常孟园</cp:lastModifiedBy>
  <dcterms:modified xsi:type="dcterms:W3CDTF">2019-05-28T07:07:26Z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