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cs="黑体"/>
          <w:color w:val="000000" w:themeColor="text1"/>
          <w:sz w:val="36"/>
          <w:szCs w:val="36"/>
        </w:rPr>
      </w:pPr>
      <w:bookmarkStart w:id="0" w:name="_GoBack"/>
      <w:bookmarkEnd w:id="0"/>
      <w:r>
        <w:rPr>
          <w:rFonts w:hint="eastAsia" w:ascii="黑体" w:hAnsi="黑体" w:eastAsia="黑体" w:cs="黑体"/>
          <w:color w:val="000000" w:themeColor="text1"/>
          <w:sz w:val="36"/>
          <w:szCs w:val="36"/>
        </w:rPr>
        <w:t>深圳市市场监督管理局</w:t>
      </w:r>
    </w:p>
    <w:p>
      <w:pPr>
        <w:spacing w:beforeLines="75" w:line="360" w:lineRule="auto"/>
        <w:jc w:val="center"/>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插头插座、开关类产品质量监督抽查实施规范</w:t>
      </w:r>
    </w:p>
    <w:p>
      <w:pPr>
        <w:spacing w:beforeLines="75" w:line="360" w:lineRule="auto"/>
        <w:jc w:val="center"/>
        <w:rPr>
          <w:rFonts w:ascii="黑体" w:hAnsi="黑体" w:eastAsia="黑体" w:cs="黑体"/>
          <w:sz w:val="28"/>
        </w:rPr>
      </w:pPr>
      <w:r>
        <w:rPr>
          <w:rFonts w:hint="eastAsia" w:ascii="黑体" w:hAnsi="黑体" w:eastAsia="黑体" w:cs="黑体"/>
          <w:sz w:val="28"/>
        </w:rPr>
        <w:t>编号：CCGF-SZ-025-2019</w:t>
      </w:r>
    </w:p>
    <w:p>
      <w:pPr>
        <w:spacing w:beforeLines="75" w:line="360" w:lineRule="auto"/>
        <w:jc w:val="center"/>
        <w:rPr>
          <w:rFonts w:ascii="黑体" w:hAnsi="黑体" w:eastAsia="黑体"/>
          <w:color w:val="000000" w:themeColor="text1"/>
          <w:sz w:val="28"/>
        </w:rPr>
      </w:pP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1 适用范围</w:t>
      </w:r>
    </w:p>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本规范适用于深圳市生产及流通领域</w:t>
      </w:r>
      <w:r>
        <w:rPr>
          <w:rFonts w:hint="eastAsia" w:ascii="仿宋_GB2312" w:hAnsi="宋体" w:eastAsia="仿宋_GB2312"/>
          <w:color w:val="000000" w:themeColor="text1"/>
          <w:sz w:val="28"/>
          <w:szCs w:val="28"/>
        </w:rPr>
        <w:t>插头插座、开关类</w:t>
      </w:r>
      <w:r>
        <w:rPr>
          <w:rFonts w:hint="eastAsia" w:ascii="仿宋_GB2312" w:hAnsi="宋体" w:eastAsia="仿宋_GB2312" w:cs="Times New Roman"/>
          <w:color w:val="000000" w:themeColor="text1"/>
          <w:sz w:val="28"/>
          <w:szCs w:val="28"/>
        </w:rPr>
        <w:t>产品质量监督抽查。监督抽查产品范围适用于：插头、</w:t>
      </w:r>
      <w:r>
        <w:rPr>
          <w:rFonts w:hint="eastAsia" w:ascii="仿宋_GB2312" w:hAnsi="宋体" w:eastAsia="仿宋_GB2312"/>
          <w:color w:val="000000" w:themeColor="text1"/>
          <w:sz w:val="28"/>
          <w:szCs w:val="28"/>
        </w:rPr>
        <w:t>固定式插座、转换器、延长线插座、开关</w:t>
      </w:r>
      <w:r>
        <w:rPr>
          <w:rFonts w:hint="eastAsia" w:ascii="仿宋_GB2312" w:eastAsia="仿宋_GB2312"/>
          <w:color w:val="000000" w:themeColor="text1"/>
          <w:sz w:val="28"/>
          <w:szCs w:val="28"/>
        </w:rPr>
        <w:t>等</w:t>
      </w:r>
      <w:r>
        <w:rPr>
          <w:rFonts w:hint="eastAsia" w:ascii="仿宋_GB2312" w:hAnsi="宋体" w:eastAsia="仿宋_GB2312"/>
          <w:color w:val="000000" w:themeColor="text1"/>
          <w:sz w:val="28"/>
          <w:szCs w:val="28"/>
        </w:rPr>
        <w:t>。</w:t>
      </w:r>
    </w:p>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2产品种类</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产品种类见表1。</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表1  产品种类</w:t>
      </w:r>
    </w:p>
    <w:tbl>
      <w:tblPr>
        <w:tblStyle w:val="19"/>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blHeader/>
          <w:jc w:val="center"/>
        </w:trPr>
        <w:tc>
          <w:tcPr>
            <w:tcW w:w="2736" w:type="dxa"/>
            <w:vAlign w:val="center"/>
          </w:tcPr>
          <w:p>
            <w:pPr>
              <w:snapToGrid w:val="0"/>
              <w:spacing w:line="300" w:lineRule="exact"/>
              <w:jc w:val="center"/>
              <w:rPr>
                <w:rFonts w:ascii="黑体" w:hAnsi="黑体" w:eastAsia="黑体" w:cs="黑体"/>
                <w:bCs/>
                <w:color w:val="000000" w:themeColor="text1"/>
                <w:sz w:val="24"/>
                <w:szCs w:val="24"/>
              </w:rPr>
            </w:pPr>
            <w:r>
              <w:rPr>
                <w:rFonts w:hint="eastAsia" w:ascii="黑体" w:hAnsi="黑体" w:eastAsia="黑体" w:cs="黑体"/>
                <w:bCs/>
                <w:color w:val="000000" w:themeColor="text1"/>
                <w:sz w:val="24"/>
                <w:szCs w:val="24"/>
              </w:rPr>
              <w:t>产品种类</w:t>
            </w:r>
          </w:p>
        </w:tc>
        <w:tc>
          <w:tcPr>
            <w:tcW w:w="6024" w:type="dxa"/>
            <w:vAlign w:val="center"/>
          </w:tcPr>
          <w:p>
            <w:pPr>
              <w:snapToGrid w:val="0"/>
              <w:spacing w:line="300" w:lineRule="exact"/>
              <w:jc w:val="center"/>
              <w:rPr>
                <w:rFonts w:ascii="黑体" w:hAnsi="黑体" w:eastAsia="黑体" w:cs="黑体"/>
                <w:bCs/>
                <w:color w:val="000000" w:themeColor="text1"/>
                <w:sz w:val="24"/>
                <w:szCs w:val="24"/>
              </w:rPr>
            </w:pPr>
            <w:r>
              <w:rPr>
                <w:rFonts w:hint="eastAsia" w:ascii="黑体" w:hAnsi="黑体" w:eastAsia="黑体" w:cs="黑体"/>
                <w:bCs/>
                <w:color w:val="000000" w:themeColor="text1"/>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6" w:type="dxa"/>
            <w:vAlign w:val="center"/>
          </w:tcPr>
          <w:p>
            <w:pPr>
              <w:snapToGri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插头、插座、转换器、延长线插座</w:t>
            </w:r>
          </w:p>
        </w:tc>
        <w:tc>
          <w:tcPr>
            <w:tcW w:w="6024" w:type="dxa"/>
            <w:vAlign w:val="center"/>
          </w:tcPr>
          <w:p>
            <w:pPr>
              <w:snapToGrid w:val="0"/>
              <w:spacing w:line="300" w:lineRule="exact"/>
              <w:jc w:val="left"/>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户内或户外使用的、家用和类似用途的、仅用于交流电、额定电压50V～440V、额定电流不超过32A、带或不带接地触头的插头和固定式或移动式插座；一根带有一个插头和一个一位或多位移动式插座的软缆组成的组件；交流电、带保护门和不带保护门、带熔断器和不带熔断器的转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6" w:type="dxa"/>
            <w:vAlign w:val="center"/>
          </w:tcPr>
          <w:p>
            <w:pPr>
              <w:snapToGrid w:val="0"/>
              <w:spacing w:line="300" w:lineRule="exact"/>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开关</w:t>
            </w:r>
          </w:p>
        </w:tc>
        <w:tc>
          <w:tcPr>
            <w:tcW w:w="6024" w:type="dxa"/>
            <w:vAlign w:val="center"/>
          </w:tcPr>
          <w:p>
            <w:pPr>
              <w:snapToGrid w:val="0"/>
              <w:spacing w:line="300" w:lineRule="exact"/>
              <w:jc w:val="left"/>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户内或户外使用的，仅用于交流电、额定电压不超过440V，额定电流不超过63A的家用和类似用途固定式电气装置的手动操作的一般用途开关。</w:t>
            </w:r>
          </w:p>
        </w:tc>
      </w:tr>
    </w:tbl>
    <w:p>
      <w:pPr>
        <w:snapToGrid w:val="0"/>
        <w:spacing w:beforeLines="50" w:line="360" w:lineRule="auto"/>
        <w:rPr>
          <w:rFonts w:ascii="仿宋_GB2312" w:hAnsi="宋体" w:eastAsia="仿宋_GB2312" w:cs="Times New Roman"/>
          <w:b/>
          <w:color w:val="000000" w:themeColor="text1"/>
          <w:sz w:val="28"/>
          <w:szCs w:val="28"/>
        </w:rPr>
      </w:pPr>
    </w:p>
    <w:p>
      <w:pPr>
        <w:snapToGrid w:val="0"/>
        <w:spacing w:beforeLines="50"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3 术语和定义</w:t>
      </w:r>
    </w:p>
    <w:p>
      <w:pPr>
        <w:snapToGrid w:val="0"/>
        <w:spacing w:line="360" w:lineRule="auto"/>
        <w:ind w:firstLine="560" w:firstLineChars="200"/>
        <w:rPr>
          <w:rFonts w:ascii="仿宋_GB2312" w:hAnsi="宋体" w:eastAsia="仿宋_GB2312" w:cs="Times New Roman"/>
          <w:sz w:val="32"/>
          <w:szCs w:val="32"/>
        </w:rPr>
      </w:pPr>
      <w:r>
        <w:rPr>
          <w:rFonts w:hint="eastAsia" w:ascii="仿宋_GB2312" w:hAnsi="宋体" w:eastAsia="仿宋_GB2312" w:cs="Times New Roman"/>
          <w:sz w:val="28"/>
          <w:szCs w:val="28"/>
        </w:rPr>
        <w:t>术语和定义见表2。</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表2 术语和定义</w:t>
      </w:r>
    </w:p>
    <w:tbl>
      <w:tblPr>
        <w:tblStyle w:val="19"/>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447"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插头</w:t>
            </w:r>
          </w:p>
        </w:tc>
        <w:tc>
          <w:tcPr>
            <w:tcW w:w="6447" w:type="dxa"/>
            <w:vAlign w:val="center"/>
          </w:tcPr>
          <w:p>
            <w:pPr>
              <w:autoSpaceDE w:val="0"/>
              <w:autoSpaceDN w:val="0"/>
              <w:adjustRightInd w:val="0"/>
              <w:jc w:val="left"/>
              <w:rPr>
                <w:rFonts w:ascii="仿宋_GB2312" w:hAnsi="宋体" w:eastAsia="仿宋_GB2312" w:cs="Times New Roman"/>
                <w:sz w:val="24"/>
                <w:szCs w:val="24"/>
              </w:rPr>
            </w:pPr>
            <w:r>
              <w:rPr>
                <w:rFonts w:hint="eastAsia" w:ascii="仿宋_GB2312" w:eastAsia="仿宋_GB2312" w:cs="宋体"/>
                <w:kern w:val="0"/>
                <w:sz w:val="24"/>
                <w:szCs w:val="21"/>
              </w:rPr>
              <w:t>具有设计用于与插座的插套插合的插销，并装有用于软缆电气连接和机械定位部件的电器附件。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szCs w:val="21"/>
              </w:rPr>
              <w:t>固定式插座</w:t>
            </w:r>
          </w:p>
        </w:tc>
        <w:tc>
          <w:tcPr>
            <w:tcW w:w="6447" w:type="dxa"/>
            <w:vAlign w:val="center"/>
          </w:tcPr>
          <w:p>
            <w:pPr>
              <w:autoSpaceDE w:val="0"/>
              <w:autoSpaceDN w:val="0"/>
              <w:adjustRightInd w:val="0"/>
              <w:jc w:val="left"/>
              <w:rPr>
                <w:rFonts w:ascii="仿宋_GB2312" w:eastAsia="仿宋_GB2312" w:cs="宋体"/>
                <w:kern w:val="0"/>
                <w:sz w:val="24"/>
                <w:szCs w:val="24"/>
              </w:rPr>
            </w:pPr>
            <w:r>
              <w:rPr>
                <w:rFonts w:hint="eastAsia" w:ascii="仿宋_GB2312" w:eastAsia="仿宋_GB2312" w:cs="宋体"/>
                <w:kern w:val="0"/>
                <w:sz w:val="24"/>
                <w:szCs w:val="24"/>
              </w:rPr>
              <w:t>用于与固定布线连接的插座。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szCs w:val="21"/>
              </w:rPr>
              <w:t>转换器</w:t>
            </w:r>
          </w:p>
        </w:tc>
        <w:tc>
          <w:tcPr>
            <w:tcW w:w="6447" w:type="dxa"/>
            <w:vAlign w:val="center"/>
          </w:tcPr>
          <w:p>
            <w:pPr>
              <w:autoSpaceDE w:val="0"/>
              <w:autoSpaceDN w:val="0"/>
              <w:adjustRightInd w:val="0"/>
              <w:jc w:val="left"/>
              <w:rPr>
                <w:rFonts w:ascii="仿宋_GB2312" w:eastAsia="仿宋_GB2312" w:cs="宋体"/>
                <w:kern w:val="0"/>
                <w:sz w:val="24"/>
                <w:szCs w:val="24"/>
              </w:rPr>
            </w:pPr>
            <w:r>
              <w:rPr>
                <w:rFonts w:hint="eastAsia" w:ascii="仿宋_GB2312" w:eastAsia="仿宋_GB2312" w:cs="宋体"/>
                <w:kern w:val="0"/>
                <w:sz w:val="24"/>
                <w:szCs w:val="24"/>
              </w:rPr>
              <w:t>由一个插头部分和一个或多个插座部分两者作为一个整体单元所构成的移动式电器附件。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szCs w:val="21"/>
              </w:rPr>
              <w:t>延长线插座</w:t>
            </w:r>
          </w:p>
        </w:tc>
        <w:tc>
          <w:tcPr>
            <w:tcW w:w="6447" w:type="dxa"/>
            <w:vAlign w:val="center"/>
          </w:tcPr>
          <w:p>
            <w:pPr>
              <w:autoSpaceDE w:val="0"/>
              <w:autoSpaceDN w:val="0"/>
              <w:adjustRightInd w:val="0"/>
              <w:jc w:val="left"/>
              <w:rPr>
                <w:rFonts w:ascii="仿宋_GB2312" w:eastAsia="仿宋_GB2312" w:cs="宋体"/>
                <w:kern w:val="0"/>
                <w:sz w:val="24"/>
                <w:szCs w:val="24"/>
              </w:rPr>
            </w:pPr>
            <w:r>
              <w:rPr>
                <w:rFonts w:hint="eastAsia" w:ascii="仿宋_GB2312" w:eastAsia="仿宋_GB2312" w:cs="宋体"/>
                <w:kern w:val="0"/>
                <w:sz w:val="24"/>
                <w:szCs w:val="24"/>
              </w:rPr>
              <w:t>一根带有一个插头和一个一位或多位移动式插座的软缆组成的组件。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szCs w:val="21"/>
              </w:rPr>
            </w:pPr>
            <w:r>
              <w:rPr>
                <w:rFonts w:hint="eastAsia" w:ascii="仿宋_GB2312" w:hAnsi="宋体" w:eastAsia="仿宋_GB2312"/>
                <w:szCs w:val="21"/>
              </w:rPr>
              <w:t>开关</w:t>
            </w:r>
          </w:p>
        </w:tc>
        <w:tc>
          <w:tcPr>
            <w:tcW w:w="6447" w:type="dxa"/>
            <w:vAlign w:val="center"/>
          </w:tcPr>
          <w:p>
            <w:pPr>
              <w:autoSpaceDE w:val="0"/>
              <w:autoSpaceDN w:val="0"/>
              <w:adjustRightInd w:val="0"/>
              <w:jc w:val="left"/>
              <w:rPr>
                <w:rFonts w:ascii="仿宋_GB2312" w:eastAsia="仿宋_GB2312" w:cs="宋体"/>
                <w:kern w:val="0"/>
                <w:sz w:val="24"/>
                <w:szCs w:val="24"/>
              </w:rPr>
            </w:pPr>
            <w:r>
              <w:rPr>
                <w:rFonts w:hint="eastAsia" w:ascii="仿宋_GB2312" w:eastAsia="仿宋_GB2312" w:cs="宋体"/>
                <w:kern w:val="0"/>
                <w:sz w:val="24"/>
                <w:szCs w:val="24"/>
              </w:rPr>
              <w:t>设计用以接通或分断一个或多个电路里的电流的装置。</w:t>
            </w:r>
          </w:p>
        </w:tc>
      </w:tr>
    </w:tbl>
    <w:p>
      <w:pPr>
        <w:snapToGrid w:val="0"/>
        <w:spacing w:beforeLines="50"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4 检验依据</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检验依据见表3。</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表3 检验依据</w:t>
      </w:r>
    </w:p>
    <w:tbl>
      <w:tblPr>
        <w:tblStyle w:val="19"/>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4351"/>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293" w:type="dxa"/>
            <w:vAlign w:val="center"/>
          </w:tcPr>
          <w:p>
            <w:pPr>
              <w:snapToGrid w:val="0"/>
              <w:jc w:val="center"/>
              <w:rPr>
                <w:rFonts w:ascii="黑体" w:hAnsi="黑体" w:eastAsia="黑体"/>
                <w:color w:val="000000" w:themeColor="text1"/>
                <w:sz w:val="24"/>
                <w:szCs w:val="24"/>
              </w:rPr>
            </w:pPr>
            <w:r>
              <w:rPr>
                <w:rFonts w:hint="eastAsia" w:ascii="黑体" w:hAnsi="黑体" w:eastAsia="黑体"/>
                <w:color w:val="000000" w:themeColor="text1"/>
                <w:sz w:val="24"/>
                <w:szCs w:val="24"/>
              </w:rPr>
              <w:t>标准号</w:t>
            </w:r>
          </w:p>
        </w:tc>
        <w:tc>
          <w:tcPr>
            <w:tcW w:w="4351" w:type="dxa"/>
            <w:vAlign w:val="center"/>
          </w:tcPr>
          <w:p>
            <w:pPr>
              <w:snapToGrid w:val="0"/>
              <w:jc w:val="center"/>
              <w:rPr>
                <w:rFonts w:ascii="黑体" w:hAnsi="黑体" w:eastAsia="黑体"/>
                <w:color w:val="000000" w:themeColor="text1"/>
                <w:sz w:val="24"/>
                <w:szCs w:val="24"/>
              </w:rPr>
            </w:pPr>
            <w:r>
              <w:rPr>
                <w:rFonts w:hint="eastAsia" w:ascii="黑体" w:hAnsi="黑体" w:eastAsia="黑体"/>
                <w:color w:val="000000" w:themeColor="text1"/>
                <w:sz w:val="24"/>
                <w:szCs w:val="24"/>
              </w:rPr>
              <w:t>标准名称</w:t>
            </w:r>
          </w:p>
        </w:tc>
        <w:tc>
          <w:tcPr>
            <w:tcW w:w="2276" w:type="dxa"/>
            <w:vAlign w:val="center"/>
          </w:tcPr>
          <w:p>
            <w:pPr>
              <w:snapToGrid w:val="0"/>
              <w:jc w:val="center"/>
              <w:rPr>
                <w:rFonts w:ascii="黑体" w:hAnsi="黑体" w:eastAsia="黑体"/>
                <w:color w:val="000000" w:themeColor="text1"/>
                <w:sz w:val="24"/>
                <w:szCs w:val="24"/>
              </w:rPr>
            </w:pPr>
            <w:r>
              <w:rPr>
                <w:rFonts w:hint="eastAsia" w:ascii="黑体" w:hAnsi="黑体" w:eastAsia="黑体"/>
                <w:color w:val="000000" w:themeColor="text1"/>
                <w:sz w:val="24"/>
                <w:szCs w:val="24"/>
              </w:rPr>
              <w:t>已获资质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293" w:type="dxa"/>
            <w:vAlign w:val="center"/>
          </w:tcPr>
          <w:p>
            <w:pPr>
              <w:spacing w:before="5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 2099.1-2008</w:t>
            </w:r>
          </w:p>
        </w:tc>
        <w:tc>
          <w:tcPr>
            <w:tcW w:w="4351" w:type="dxa"/>
            <w:vAlign w:val="center"/>
          </w:tcPr>
          <w:p>
            <w:pPr>
              <w:pStyle w:val="3"/>
              <w:widowControl/>
              <w:shd w:val="clear" w:color="auto" w:fill="FFFFFF"/>
              <w:jc w:val="center"/>
              <w:rPr>
                <w:rFonts w:hint="default" w:ascii="仿宋_GB2312" w:hAnsi="仿宋_GB2312" w:eastAsia="仿宋_GB2312" w:cs="仿宋_GB2312"/>
                <w:color w:val="000000" w:themeColor="text1"/>
                <w:sz w:val="24"/>
                <w:szCs w:val="24"/>
              </w:rPr>
            </w:pPr>
            <w:r>
              <w:rPr>
                <w:rFonts w:ascii="仿宋_GB2312" w:hAnsi="仿宋_GB2312" w:eastAsia="仿宋_GB2312" w:cs="仿宋_GB2312"/>
                <w:b w:val="0"/>
                <w:color w:val="000000" w:themeColor="text1"/>
                <w:kern w:val="2"/>
                <w:sz w:val="24"/>
                <w:szCs w:val="24"/>
              </w:rPr>
              <w:t>家用和类似用途插头插座 第1部分：通用要求</w:t>
            </w:r>
          </w:p>
        </w:tc>
        <w:tc>
          <w:tcPr>
            <w:tcW w:w="2276"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 xml:space="preserve">CMA  </w:t>
            </w: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 xml:space="preserve">CAL </w:t>
            </w: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293"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 2099.3-2015</w:t>
            </w:r>
          </w:p>
        </w:tc>
        <w:tc>
          <w:tcPr>
            <w:tcW w:w="4351"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家用和类似用途插头插座 第2部分：转换器的特殊要求</w:t>
            </w:r>
          </w:p>
        </w:tc>
        <w:tc>
          <w:tcPr>
            <w:tcW w:w="2276"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 xml:space="preserve">CMA  </w:t>
            </w: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 xml:space="preserve">CAL </w:t>
            </w: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293" w:type="dxa"/>
            <w:vAlign w:val="center"/>
          </w:tcPr>
          <w:p>
            <w:pPr>
              <w:spacing w:before="5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 2099.7-2015</w:t>
            </w:r>
          </w:p>
        </w:tc>
        <w:tc>
          <w:tcPr>
            <w:tcW w:w="4351" w:type="dxa"/>
            <w:vAlign w:val="center"/>
          </w:tcPr>
          <w:p>
            <w:pPr>
              <w:pStyle w:val="2"/>
              <w:keepNext w:val="0"/>
              <w:widowControl/>
              <w:spacing w:line="240" w:lineRule="auto"/>
              <w:ind w:right="1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家用和类似用途插头插座 第2-7部分 延长线插座的特殊要求</w:t>
            </w:r>
          </w:p>
        </w:tc>
        <w:tc>
          <w:tcPr>
            <w:tcW w:w="2276"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 xml:space="preserve">CMA  </w:t>
            </w: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 xml:space="preserve">CAL </w:t>
            </w: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293" w:type="dxa"/>
            <w:vAlign w:val="center"/>
          </w:tcPr>
          <w:p>
            <w:pPr>
              <w:spacing w:before="5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GB/T16915.1-2014</w:t>
            </w:r>
          </w:p>
        </w:tc>
        <w:tc>
          <w:tcPr>
            <w:tcW w:w="4351" w:type="dxa"/>
            <w:vAlign w:val="center"/>
          </w:tcPr>
          <w:p>
            <w:pPr>
              <w:pStyle w:val="2"/>
              <w:keepNext w:val="0"/>
              <w:widowControl/>
              <w:spacing w:line="240" w:lineRule="auto"/>
              <w:ind w:right="1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家用和类似用途固定式电气装置的开关 第1部分：通用要求</w:t>
            </w:r>
          </w:p>
        </w:tc>
        <w:tc>
          <w:tcPr>
            <w:tcW w:w="2276"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 xml:space="preserve">CMA  </w:t>
            </w: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 xml:space="preserve">CAL </w:t>
            </w:r>
            <w:r>
              <w:rPr>
                <w:rFonts w:hint="eastAsia" w:ascii="仿宋_GB2312" w:hAnsi="仿宋_GB2312" w:eastAsia="仿宋_GB2312" w:cs="仿宋_GB2312"/>
                <w:color w:val="000000" w:themeColor="text1"/>
                <w:sz w:val="24"/>
                <w:szCs w:val="24"/>
              </w:rPr>
              <w:sym w:font="Wingdings 2" w:char="F052"/>
            </w:r>
            <w:r>
              <w:rPr>
                <w:rFonts w:hint="eastAsia" w:ascii="仿宋_GB2312" w:hAnsi="仿宋_GB2312" w:eastAsia="仿宋_GB2312" w:cs="仿宋_GB2312"/>
                <w:color w:val="000000" w:themeColor="text1"/>
                <w:sz w:val="24"/>
                <w:szCs w:val="24"/>
              </w:rPr>
              <w:t>CNAS</w:t>
            </w:r>
          </w:p>
        </w:tc>
      </w:tr>
    </w:tbl>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 抽样</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5.1 抽样型号或规格</w:t>
      </w:r>
    </w:p>
    <w:p>
      <w:pPr>
        <w:snapToGrid w:val="0"/>
        <w:spacing w:line="360" w:lineRule="auto"/>
        <w:ind w:firstLine="537" w:firstLineChars="192"/>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抽取样品须为同一型号规格，同一批次的产品。</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5.2 抽样方法</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5.3 抽样基数</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在生产企业和市场上抽样时，抽样基数应不少于抽取样品量。</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5.4 抽样数量</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随机抽取同一规格型号的12个样品，8个作为检验样品，4个作为备用样品。</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5.5 样品处置</w:t>
      </w:r>
    </w:p>
    <w:p>
      <w:pPr>
        <w:spacing w:line="360" w:lineRule="auto"/>
        <w:rPr>
          <w:rFonts w:ascii="仿宋_GB2312" w:hAnsi="宋体" w:eastAsia="仿宋_GB2312" w:cs="Times New Roman"/>
          <w:color w:val="000000" w:themeColor="text1"/>
          <w:sz w:val="28"/>
          <w:szCs w:val="28"/>
        </w:rPr>
      </w:pPr>
      <w:r>
        <w:rPr>
          <w:rFonts w:hint="eastAsia" w:ascii="仿宋_GB2312" w:hAnsi="ˎ̥" w:eastAsia="仿宋_GB2312" w:cs="Times New Roman"/>
          <w:b/>
          <w:color w:val="000000" w:themeColor="text1"/>
          <w:sz w:val="28"/>
          <w:szCs w:val="28"/>
        </w:rPr>
        <w:t>5.5.1</w:t>
      </w:r>
      <w:r>
        <w:rPr>
          <w:rFonts w:hint="eastAsia" w:ascii="仿宋_GB2312" w:hAnsi="宋体" w:eastAsia="仿宋_GB2312" w:cs="Times New Roman"/>
          <w:color w:val="000000" w:themeColor="text1"/>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color w:val="000000" w:themeColor="text1"/>
          <w:sz w:val="28"/>
          <w:szCs w:val="28"/>
        </w:rPr>
      </w:pPr>
      <w:r>
        <w:rPr>
          <w:rFonts w:hint="eastAsia" w:ascii="仿宋_GB2312" w:hAnsi="宋体" w:eastAsia="仿宋_GB2312" w:cs="Times New Roman"/>
          <w:b/>
          <w:color w:val="000000" w:themeColor="text1"/>
          <w:sz w:val="28"/>
          <w:szCs w:val="28"/>
        </w:rPr>
        <w:t>5.5.2</w:t>
      </w:r>
      <w:r>
        <w:rPr>
          <w:rFonts w:hint="eastAsia" w:ascii="仿宋_GB2312" w:hAnsi="Calibri" w:eastAsia="仿宋_GB2312" w:cs="Times New Roman"/>
          <w:color w:val="000000" w:themeColor="text1"/>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5.6 抽样单</w:t>
      </w:r>
    </w:p>
    <w:p>
      <w:pPr>
        <w:snapToGrid w:val="0"/>
        <w:spacing w:line="360" w:lineRule="auto"/>
        <w:ind w:firstLine="537" w:firstLineChars="192"/>
        <w:rPr>
          <w:rFonts w:ascii="仿宋_GB2312" w:hAnsi="Calibri" w:eastAsia="仿宋_GB2312" w:cs="Sim Sun"/>
          <w:color w:val="000000" w:themeColor="text1"/>
          <w:kern w:val="0"/>
          <w:sz w:val="28"/>
          <w:szCs w:val="28"/>
        </w:rPr>
      </w:pPr>
      <w:r>
        <w:rPr>
          <w:rFonts w:hint="eastAsia" w:ascii="仿宋_GB2312" w:hAnsi="宋体" w:eastAsia="仿宋_GB2312" w:cs="Times New Roman"/>
          <w:color w:val="000000" w:themeColor="text1"/>
          <w:sz w:val="28"/>
          <w:szCs w:val="28"/>
        </w:rPr>
        <w:t>应按有关规定填写抽样单，并记录被抽查产品及企业相关信息。</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6 检验要求</w:t>
      </w:r>
    </w:p>
    <w:p>
      <w:pPr>
        <w:snapToGrid w:val="0"/>
        <w:spacing w:line="360" w:lineRule="auto"/>
        <w:rPr>
          <w:rStyle w:val="18"/>
          <w:rFonts w:ascii="Times New Roman" w:hAnsi="Times New Roman" w:eastAsia="宋体" w:cs="Times New Roman"/>
          <w:color w:val="000000" w:themeColor="text1"/>
          <w:sz w:val="28"/>
          <w:szCs w:val="28"/>
        </w:rPr>
      </w:pPr>
      <w:r>
        <w:rPr>
          <w:rFonts w:hint="eastAsia" w:ascii="仿宋_GB2312" w:hAnsi="宋体" w:eastAsia="仿宋_GB2312" w:cs="Times New Roman"/>
          <w:b/>
          <w:color w:val="000000" w:themeColor="text1"/>
          <w:sz w:val="28"/>
          <w:szCs w:val="28"/>
        </w:rPr>
        <w:t>6.1 检验项目</w:t>
      </w:r>
    </w:p>
    <w:p>
      <w:pPr>
        <w:widowControl/>
        <w:adjustRightInd w:val="0"/>
        <w:snapToGrid w:val="0"/>
        <w:spacing w:line="600" w:lineRule="exact"/>
        <w:ind w:firstLine="560" w:firstLineChars="200"/>
        <w:jc w:val="center"/>
        <w:rPr>
          <w:rStyle w:val="18"/>
          <w:rFonts w:ascii="黑体" w:hAnsi="黑体" w:eastAsia="黑体" w:cs="黑体"/>
          <w:color w:val="000000" w:themeColor="text1"/>
          <w:sz w:val="28"/>
          <w:szCs w:val="28"/>
        </w:rPr>
      </w:pPr>
      <w:r>
        <w:rPr>
          <w:rFonts w:hint="eastAsia" w:ascii="黑体" w:hAnsi="黑体" w:eastAsia="黑体" w:cs="黑体"/>
          <w:color w:val="000000" w:themeColor="text1"/>
          <w:kern w:val="0"/>
          <w:sz w:val="28"/>
          <w:szCs w:val="28"/>
        </w:rPr>
        <w:t>表4  插头插座类检验项目</w:t>
      </w:r>
    </w:p>
    <w:tbl>
      <w:tblPr>
        <w:tblStyle w:val="19"/>
        <w:tblW w:w="90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50"/>
        <w:gridCol w:w="1875"/>
        <w:gridCol w:w="1395"/>
        <w:gridCol w:w="232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81" w:type="dxa"/>
            <w:vAlign w:val="center"/>
          </w:tcPr>
          <w:p>
            <w:pPr>
              <w:widowControl/>
              <w:snapToGrid w:val="0"/>
              <w:jc w:val="center"/>
              <w:rPr>
                <w:rFonts w:ascii="黑体" w:hAnsi="黑体" w:eastAsia="黑体"/>
                <w:color w:val="000000" w:themeColor="text1"/>
                <w:sz w:val="24"/>
                <w:szCs w:val="24"/>
              </w:rPr>
            </w:pPr>
            <w:r>
              <w:rPr>
                <w:rFonts w:hint="eastAsia" w:ascii="黑体" w:hAnsi="宋体" w:eastAsia="黑体" w:cs="宋体"/>
                <w:bCs/>
                <w:color w:val="000000" w:themeColor="text1"/>
                <w:sz w:val="24"/>
                <w:szCs w:val="24"/>
              </w:rPr>
              <w:t>序号</w:t>
            </w:r>
          </w:p>
        </w:tc>
        <w:tc>
          <w:tcPr>
            <w:tcW w:w="1950" w:type="dxa"/>
            <w:vAlign w:val="center"/>
          </w:tcPr>
          <w:p>
            <w:pPr>
              <w:widowControl/>
              <w:snapToGrid w:val="0"/>
              <w:jc w:val="center"/>
              <w:rPr>
                <w:rFonts w:ascii="黑体" w:hAnsi="黑体" w:eastAsia="黑体"/>
                <w:color w:val="000000" w:themeColor="text1"/>
                <w:sz w:val="24"/>
                <w:szCs w:val="24"/>
              </w:rPr>
            </w:pPr>
            <w:r>
              <w:rPr>
                <w:rFonts w:hint="eastAsia" w:ascii="黑体" w:hAnsi="宋体" w:eastAsia="黑体" w:cs="宋体"/>
                <w:bCs/>
                <w:color w:val="000000" w:themeColor="text1"/>
                <w:sz w:val="24"/>
                <w:szCs w:val="24"/>
              </w:rPr>
              <w:t>检验项目</w:t>
            </w:r>
          </w:p>
        </w:tc>
        <w:tc>
          <w:tcPr>
            <w:tcW w:w="1875" w:type="dxa"/>
            <w:vAlign w:val="center"/>
          </w:tcPr>
          <w:p>
            <w:pPr>
              <w:widowControl/>
              <w:snapToGrid w:val="0"/>
              <w:jc w:val="center"/>
              <w:rPr>
                <w:rFonts w:ascii="黑体" w:hAnsi="黑体" w:eastAsia="黑体"/>
                <w:color w:val="000000" w:themeColor="text1"/>
                <w:sz w:val="24"/>
                <w:szCs w:val="24"/>
              </w:rPr>
            </w:pPr>
            <w:r>
              <w:rPr>
                <w:rFonts w:hint="eastAsia" w:ascii="黑体" w:hAnsi="宋体" w:eastAsia="黑体" w:cs="宋体"/>
                <w:bCs/>
                <w:color w:val="000000" w:themeColor="text1"/>
                <w:sz w:val="24"/>
                <w:szCs w:val="24"/>
              </w:rPr>
              <w:t>检测依据</w:t>
            </w:r>
          </w:p>
        </w:tc>
        <w:tc>
          <w:tcPr>
            <w:tcW w:w="1395" w:type="dxa"/>
            <w:vAlign w:val="center"/>
          </w:tcPr>
          <w:p>
            <w:pPr>
              <w:widowControl/>
              <w:snapToGrid w:val="0"/>
              <w:jc w:val="center"/>
              <w:rPr>
                <w:rFonts w:ascii="黑体" w:hAnsi="宋体" w:eastAsia="黑体" w:cs="宋体"/>
                <w:bCs/>
                <w:color w:val="000000" w:themeColor="text1"/>
                <w:sz w:val="24"/>
                <w:szCs w:val="24"/>
              </w:rPr>
            </w:pPr>
            <w:r>
              <w:rPr>
                <w:rFonts w:hint="eastAsia" w:ascii="黑体" w:hAnsi="宋体" w:eastAsia="黑体" w:cs="宋体"/>
                <w:bCs/>
                <w:color w:val="000000" w:themeColor="text1"/>
                <w:sz w:val="24"/>
                <w:szCs w:val="24"/>
              </w:rPr>
              <w:t>强制性/</w:t>
            </w:r>
          </w:p>
          <w:p>
            <w:pPr>
              <w:widowControl/>
              <w:snapToGrid w:val="0"/>
              <w:jc w:val="center"/>
              <w:rPr>
                <w:rFonts w:ascii="黑体" w:hAnsi="黑体" w:eastAsia="黑体"/>
                <w:color w:val="000000" w:themeColor="text1"/>
                <w:sz w:val="24"/>
                <w:szCs w:val="24"/>
              </w:rPr>
            </w:pPr>
            <w:r>
              <w:rPr>
                <w:rFonts w:hint="eastAsia" w:ascii="黑体" w:hAnsi="宋体" w:eastAsia="黑体" w:cs="宋体"/>
                <w:bCs/>
                <w:color w:val="000000" w:themeColor="text1"/>
                <w:sz w:val="24"/>
                <w:szCs w:val="24"/>
              </w:rPr>
              <w:t>推荐性</w:t>
            </w:r>
          </w:p>
        </w:tc>
        <w:tc>
          <w:tcPr>
            <w:tcW w:w="2325" w:type="dxa"/>
            <w:vAlign w:val="center"/>
          </w:tcPr>
          <w:p>
            <w:pPr>
              <w:widowControl/>
              <w:snapToGrid w:val="0"/>
              <w:jc w:val="center"/>
              <w:rPr>
                <w:rFonts w:ascii="黑体" w:hAnsi="黑体" w:eastAsia="黑体"/>
                <w:color w:val="000000" w:themeColor="text1"/>
                <w:sz w:val="24"/>
                <w:szCs w:val="24"/>
              </w:rPr>
            </w:pPr>
            <w:r>
              <w:rPr>
                <w:rFonts w:hint="eastAsia" w:ascii="黑体" w:hAnsi="宋体" w:eastAsia="黑体" w:cs="宋体"/>
                <w:bCs/>
                <w:color w:val="000000" w:themeColor="text1"/>
                <w:sz w:val="24"/>
                <w:szCs w:val="24"/>
              </w:rPr>
              <w:t>检测方法</w:t>
            </w:r>
          </w:p>
        </w:tc>
        <w:tc>
          <w:tcPr>
            <w:tcW w:w="725" w:type="dxa"/>
            <w:vAlign w:val="center"/>
          </w:tcPr>
          <w:p>
            <w:pPr>
              <w:snapToGrid w:val="0"/>
              <w:spacing w:line="340" w:lineRule="exact"/>
              <w:jc w:val="center"/>
              <w:rPr>
                <w:rFonts w:ascii="黑体" w:hAnsi="宋体" w:eastAsia="黑体" w:cs="宋体"/>
                <w:bCs/>
                <w:color w:val="000000" w:themeColor="text1"/>
                <w:sz w:val="24"/>
                <w:szCs w:val="24"/>
              </w:rPr>
            </w:pPr>
            <w:r>
              <w:rPr>
                <w:rFonts w:hint="eastAsia" w:ascii="黑体" w:hAnsi="黑体" w:eastAsia="黑体"/>
                <w:color w:val="000000" w:themeColor="text1"/>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标志</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第8章</w:t>
            </w:r>
          </w:p>
        </w:tc>
        <w:tc>
          <w:tcPr>
            <w:tcW w:w="1395"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第8章</w:t>
            </w:r>
          </w:p>
        </w:tc>
        <w:tc>
          <w:tcPr>
            <w:tcW w:w="7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尺寸的检查</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第9章</w:t>
            </w:r>
          </w:p>
        </w:tc>
        <w:tc>
          <w:tcPr>
            <w:tcW w:w="1395" w:type="dxa"/>
            <w:vAlign w:val="center"/>
          </w:tcPr>
          <w:p>
            <w:pPr>
              <w:snapToGrid w:val="0"/>
              <w:spacing w:line="340" w:lineRule="exac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第9章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防触电保护</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第10章</w:t>
            </w:r>
          </w:p>
        </w:tc>
        <w:tc>
          <w:tcPr>
            <w:tcW w:w="1395"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第10章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接地措施</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第11章</w:t>
            </w:r>
          </w:p>
        </w:tc>
        <w:tc>
          <w:tcPr>
            <w:tcW w:w="1395" w:type="dxa"/>
            <w:vAlign w:val="center"/>
          </w:tcPr>
          <w:p>
            <w:pPr>
              <w:snapToGrid w:val="0"/>
              <w:spacing w:line="340" w:lineRule="exac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（适用时）</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第11章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端子（一般要求）</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第12章</w:t>
            </w:r>
          </w:p>
        </w:tc>
        <w:tc>
          <w:tcPr>
            <w:tcW w:w="1395"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第12章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防潮</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第16章</w:t>
            </w:r>
          </w:p>
        </w:tc>
        <w:tc>
          <w:tcPr>
            <w:tcW w:w="1395"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第16章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绝缘电阻和电气强度</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第17章</w:t>
            </w:r>
          </w:p>
        </w:tc>
        <w:tc>
          <w:tcPr>
            <w:tcW w:w="1395"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第17章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8</w:t>
            </w:r>
          </w:p>
        </w:tc>
        <w:tc>
          <w:tcPr>
            <w:tcW w:w="1950" w:type="dxa"/>
            <w:vAlign w:val="center"/>
          </w:tcPr>
          <w:p>
            <w:pPr>
              <w:wordWrap w:val="0"/>
              <w:spacing w:line="240" w:lineRule="atLeast"/>
              <w:rPr>
                <w:rStyle w:val="17"/>
                <w:rFonts w:ascii="仿宋_GB2312" w:eastAsia="仿宋_GB2312"/>
                <w:color w:val="000000"/>
                <w:sz w:val="24"/>
              </w:rPr>
            </w:pPr>
            <w:r>
              <w:rPr>
                <w:rStyle w:val="17"/>
                <w:rFonts w:hint="eastAsia" w:ascii="仿宋_GB2312" w:eastAsia="仿宋_GB2312"/>
                <w:color w:val="000000"/>
                <w:sz w:val="24"/>
                <w:szCs w:val="24"/>
              </w:rPr>
              <w:t>接地触头的工作</w:t>
            </w:r>
          </w:p>
        </w:tc>
        <w:tc>
          <w:tcPr>
            <w:tcW w:w="1875" w:type="dxa"/>
          </w:tcPr>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GB/T2099.1</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GB/T2099.3</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GB/T2099.7</w:t>
            </w:r>
          </w:p>
          <w:p>
            <w:pPr>
              <w:jc w:val="center"/>
            </w:pPr>
            <w:r>
              <w:rPr>
                <w:rFonts w:hint="eastAsia" w:ascii="仿宋_GB2312" w:hAnsi="宋体" w:eastAsia="仿宋_GB2312"/>
                <w:color w:val="000000"/>
                <w:sz w:val="24"/>
                <w:szCs w:val="24"/>
              </w:rPr>
              <w:t>第18章</w:t>
            </w:r>
          </w:p>
        </w:tc>
        <w:tc>
          <w:tcPr>
            <w:tcW w:w="1395" w:type="dxa"/>
            <w:vAlign w:val="center"/>
          </w:tcPr>
          <w:p>
            <w:pPr>
              <w:snapToGrid w:val="0"/>
              <w:spacing w:line="340" w:lineRule="exact"/>
              <w:jc w:val="center"/>
              <w:rPr>
                <w:rStyle w:val="17"/>
                <w:rFonts w:ascii="仿宋_GB2312" w:hAnsi="宋体" w:eastAsia="仿宋_GB2312"/>
                <w:color w:val="000000"/>
                <w:sz w:val="24"/>
                <w:szCs w:val="24"/>
              </w:rPr>
            </w:pPr>
            <w:r>
              <w:rPr>
                <w:rStyle w:val="17"/>
                <w:rFonts w:hint="eastAsia" w:ascii="仿宋_GB2312" w:hAnsi="宋体" w:eastAsia="仿宋_GB2312"/>
                <w:color w:val="000000"/>
                <w:sz w:val="24"/>
                <w:szCs w:val="24"/>
              </w:rPr>
              <w:t>强制性</w:t>
            </w:r>
          </w:p>
          <w:p>
            <w:pPr>
              <w:snapToGrid w:val="0"/>
              <w:spacing w:line="340" w:lineRule="exact"/>
              <w:jc w:val="center"/>
              <w:rPr>
                <w:rFonts w:ascii="仿宋_GB2312" w:hAnsi="宋体" w:eastAsia="仿宋_GB2312"/>
                <w:color w:val="000000"/>
                <w:sz w:val="24"/>
              </w:rPr>
            </w:pPr>
            <w:r>
              <w:rPr>
                <w:rStyle w:val="17"/>
                <w:rFonts w:hint="eastAsia" w:ascii="仿宋_GB2312" w:hAnsi="宋体" w:eastAsia="仿宋_GB2312"/>
                <w:color w:val="000000"/>
                <w:sz w:val="24"/>
                <w:szCs w:val="24"/>
              </w:rPr>
              <w:t>（适用时）</w:t>
            </w:r>
          </w:p>
        </w:tc>
        <w:tc>
          <w:tcPr>
            <w:tcW w:w="2325" w:type="dxa"/>
          </w:tcPr>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GB/T2099.1</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GB/T2099.3</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GB/T2099.7</w:t>
            </w:r>
          </w:p>
          <w:p>
            <w:pPr>
              <w:jc w:val="center"/>
            </w:pPr>
            <w:r>
              <w:rPr>
                <w:rFonts w:hint="eastAsia" w:ascii="仿宋_GB2312" w:hAnsi="宋体" w:eastAsia="仿宋_GB2312"/>
                <w:color w:val="000000"/>
                <w:sz w:val="24"/>
                <w:szCs w:val="24"/>
              </w:rPr>
              <w:t>第18章</w:t>
            </w:r>
          </w:p>
        </w:tc>
        <w:tc>
          <w:tcPr>
            <w:tcW w:w="725" w:type="dxa"/>
            <w:vAlign w:val="center"/>
          </w:tcPr>
          <w:p>
            <w:pPr>
              <w:jc w:val="center"/>
            </w:pPr>
            <w:r>
              <w:rPr>
                <w:rFonts w:hint="eastAsia" w:ascii="仿宋_GB2312" w:hAnsi="宋体" w:eastAsia="仿宋_GB2312"/>
                <w:color w:val="000000"/>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9</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温升</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第19章</w:t>
            </w:r>
          </w:p>
        </w:tc>
        <w:tc>
          <w:tcPr>
            <w:tcW w:w="1395"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第19章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10</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机械强度（滚桶试验、摆锤试验）</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第24章</w:t>
            </w:r>
          </w:p>
        </w:tc>
        <w:tc>
          <w:tcPr>
            <w:tcW w:w="1395"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第24章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11</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耐热</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第25章</w:t>
            </w:r>
          </w:p>
        </w:tc>
        <w:tc>
          <w:tcPr>
            <w:tcW w:w="1395"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第25章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12</w:t>
            </w:r>
          </w:p>
        </w:tc>
        <w:tc>
          <w:tcPr>
            <w:tcW w:w="1950" w:type="dxa"/>
            <w:vAlign w:val="center"/>
          </w:tcPr>
          <w:p>
            <w:pPr>
              <w:wordWrap w:val="0"/>
              <w:spacing w:line="240" w:lineRule="atLeast"/>
              <w:rPr>
                <w:rStyle w:val="17"/>
                <w:rFonts w:ascii="仿宋_GB2312" w:eastAsia="仿宋_GB2312"/>
                <w:color w:val="000000"/>
                <w:sz w:val="24"/>
              </w:rPr>
            </w:pPr>
            <w:r>
              <w:rPr>
                <w:rStyle w:val="17"/>
                <w:rFonts w:hint="eastAsia" w:ascii="仿宋_GB2312" w:eastAsia="仿宋_GB2312"/>
                <w:color w:val="000000"/>
                <w:sz w:val="24"/>
                <w:szCs w:val="24"/>
              </w:rPr>
              <w:t>螺钉、载流部件及其连接</w:t>
            </w:r>
          </w:p>
        </w:tc>
        <w:tc>
          <w:tcPr>
            <w:tcW w:w="1875" w:type="dxa"/>
          </w:tcPr>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GB/T2099.1</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GB/T2099.3</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GB/T2099.7</w:t>
            </w:r>
          </w:p>
          <w:p>
            <w:pPr>
              <w:jc w:val="center"/>
            </w:pPr>
            <w:r>
              <w:rPr>
                <w:rFonts w:hint="eastAsia" w:ascii="仿宋_GB2312" w:hAnsi="宋体" w:eastAsia="仿宋_GB2312"/>
                <w:color w:val="000000"/>
                <w:sz w:val="24"/>
                <w:szCs w:val="24"/>
              </w:rPr>
              <w:t>第26章</w:t>
            </w:r>
          </w:p>
        </w:tc>
        <w:tc>
          <w:tcPr>
            <w:tcW w:w="1395" w:type="dxa"/>
            <w:vAlign w:val="center"/>
          </w:tcPr>
          <w:p>
            <w:pPr>
              <w:snapToGrid w:val="0"/>
              <w:spacing w:line="340" w:lineRule="exact"/>
              <w:jc w:val="center"/>
              <w:rPr>
                <w:rFonts w:ascii="仿宋_GB2312" w:hAnsi="宋体" w:eastAsia="仿宋_GB2312"/>
                <w:color w:val="000000"/>
                <w:sz w:val="24"/>
              </w:rPr>
            </w:pPr>
            <w:r>
              <w:rPr>
                <w:rStyle w:val="17"/>
                <w:rFonts w:hint="eastAsia" w:ascii="仿宋_GB2312" w:hAnsi="宋体" w:eastAsia="仿宋_GB2312"/>
                <w:color w:val="000000"/>
                <w:sz w:val="24"/>
                <w:szCs w:val="24"/>
              </w:rPr>
              <w:t>强制性</w:t>
            </w:r>
          </w:p>
        </w:tc>
        <w:tc>
          <w:tcPr>
            <w:tcW w:w="2325" w:type="dxa"/>
          </w:tcPr>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GB/T2099.1</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GB/T2099.3</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GB/T2099.7</w:t>
            </w:r>
          </w:p>
          <w:p>
            <w:pPr>
              <w:jc w:val="center"/>
            </w:pPr>
            <w:r>
              <w:rPr>
                <w:rFonts w:hint="eastAsia" w:ascii="仿宋_GB2312" w:hAnsi="宋体" w:eastAsia="仿宋_GB2312"/>
                <w:color w:val="000000"/>
                <w:sz w:val="24"/>
                <w:szCs w:val="24"/>
              </w:rPr>
              <w:t>第26章</w:t>
            </w:r>
          </w:p>
        </w:tc>
        <w:tc>
          <w:tcPr>
            <w:tcW w:w="725" w:type="dxa"/>
            <w:vAlign w:val="center"/>
          </w:tcPr>
          <w:p>
            <w:pPr>
              <w:jc w:val="center"/>
            </w:pPr>
            <w:r>
              <w:rPr>
                <w:rFonts w:hint="eastAsia" w:ascii="仿宋_GB2312" w:hAnsi="宋体" w:eastAsia="仿宋_GB2312"/>
                <w:color w:val="000000"/>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13</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爬电距离、电气间隙和通过密封胶的距离</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第27章</w:t>
            </w:r>
          </w:p>
        </w:tc>
        <w:tc>
          <w:tcPr>
            <w:tcW w:w="1395"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第27章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14</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绝缘材料的耐非正常热、耐燃和耐漏电起痕</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第28章</w:t>
            </w:r>
          </w:p>
        </w:tc>
        <w:tc>
          <w:tcPr>
            <w:tcW w:w="1395"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第28章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15</w:t>
            </w:r>
          </w:p>
        </w:tc>
        <w:tc>
          <w:tcPr>
            <w:tcW w:w="1950" w:type="dxa"/>
            <w:vAlign w:val="center"/>
          </w:tcPr>
          <w:p>
            <w:pPr>
              <w:wordWrap w:val="0"/>
              <w:spacing w:line="240" w:lineRule="atLeast"/>
              <w:rPr>
                <w:rStyle w:val="17"/>
                <w:rFonts w:ascii="仿宋_GB2312" w:eastAsia="仿宋_GB2312"/>
                <w:color w:val="000000"/>
                <w:sz w:val="24"/>
              </w:rPr>
            </w:pPr>
            <w:r>
              <w:rPr>
                <w:rStyle w:val="17"/>
                <w:rFonts w:hint="eastAsia" w:ascii="仿宋_GB2312" w:eastAsia="仿宋_GB2312"/>
                <w:color w:val="000000"/>
                <w:sz w:val="24"/>
                <w:szCs w:val="24"/>
              </w:rPr>
              <w:t>防锈性能</w:t>
            </w:r>
          </w:p>
        </w:tc>
        <w:tc>
          <w:tcPr>
            <w:tcW w:w="1875" w:type="dxa"/>
          </w:tcPr>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GB/T2099.1</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GB/T2099.3</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GB/T2099.7</w:t>
            </w:r>
          </w:p>
          <w:p>
            <w:pPr>
              <w:jc w:val="center"/>
            </w:pPr>
            <w:r>
              <w:rPr>
                <w:rFonts w:hint="eastAsia" w:ascii="仿宋_GB2312" w:hAnsi="宋体" w:eastAsia="仿宋_GB2312"/>
                <w:color w:val="000000"/>
                <w:sz w:val="24"/>
                <w:szCs w:val="24"/>
              </w:rPr>
              <w:t>第29章</w:t>
            </w:r>
          </w:p>
        </w:tc>
        <w:tc>
          <w:tcPr>
            <w:tcW w:w="1395" w:type="dxa"/>
            <w:vAlign w:val="center"/>
          </w:tcPr>
          <w:p>
            <w:pPr>
              <w:snapToGrid w:val="0"/>
              <w:spacing w:line="340" w:lineRule="exact"/>
              <w:jc w:val="center"/>
              <w:rPr>
                <w:rStyle w:val="17"/>
                <w:rFonts w:ascii="仿宋_GB2312" w:hAnsi="宋体" w:eastAsia="仿宋_GB2312"/>
                <w:color w:val="000000"/>
                <w:sz w:val="24"/>
                <w:szCs w:val="24"/>
              </w:rPr>
            </w:pPr>
            <w:r>
              <w:rPr>
                <w:rStyle w:val="17"/>
                <w:rFonts w:hint="eastAsia" w:ascii="仿宋_GB2312" w:hAnsi="宋体" w:eastAsia="仿宋_GB2312"/>
                <w:color w:val="000000"/>
                <w:sz w:val="24"/>
                <w:szCs w:val="24"/>
              </w:rPr>
              <w:t>强制性</w:t>
            </w:r>
          </w:p>
          <w:p>
            <w:pPr>
              <w:snapToGrid w:val="0"/>
              <w:spacing w:line="340" w:lineRule="exact"/>
              <w:jc w:val="center"/>
              <w:rPr>
                <w:rFonts w:ascii="仿宋_GB2312" w:hAnsi="宋体" w:eastAsia="仿宋_GB2312"/>
                <w:color w:val="000000"/>
                <w:sz w:val="24"/>
              </w:rPr>
            </w:pPr>
            <w:r>
              <w:rPr>
                <w:rStyle w:val="17"/>
                <w:rFonts w:hint="eastAsia" w:ascii="仿宋_GB2312" w:hAnsi="宋体" w:eastAsia="仿宋_GB2312"/>
                <w:color w:val="000000"/>
                <w:sz w:val="24"/>
                <w:szCs w:val="24"/>
              </w:rPr>
              <w:t>（适用时）</w:t>
            </w:r>
          </w:p>
        </w:tc>
        <w:tc>
          <w:tcPr>
            <w:tcW w:w="2325" w:type="dxa"/>
          </w:tcPr>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GB/T2099.1</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GB/T2099.3</w:t>
            </w:r>
          </w:p>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GB/T2099.7</w:t>
            </w:r>
          </w:p>
          <w:p>
            <w:pPr>
              <w:jc w:val="center"/>
            </w:pPr>
            <w:r>
              <w:rPr>
                <w:rFonts w:hint="eastAsia" w:ascii="仿宋_GB2312" w:hAnsi="宋体" w:eastAsia="仿宋_GB2312"/>
                <w:color w:val="000000"/>
                <w:sz w:val="24"/>
                <w:szCs w:val="24"/>
              </w:rPr>
              <w:t>第29章</w:t>
            </w:r>
          </w:p>
        </w:tc>
        <w:tc>
          <w:tcPr>
            <w:tcW w:w="725" w:type="dxa"/>
            <w:vAlign w:val="center"/>
          </w:tcPr>
          <w:p>
            <w:pPr>
              <w:jc w:val="center"/>
            </w:pPr>
            <w:r>
              <w:rPr>
                <w:rFonts w:hint="eastAsia" w:ascii="仿宋_GB2312" w:hAnsi="宋体" w:eastAsia="仿宋_GB2312"/>
                <w:color w:val="000000"/>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16</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分断容量</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第20章</w:t>
            </w:r>
          </w:p>
        </w:tc>
        <w:tc>
          <w:tcPr>
            <w:tcW w:w="1395" w:type="dxa"/>
            <w:vAlign w:val="center"/>
          </w:tcPr>
          <w:p>
            <w:pPr>
              <w:snapToGrid w:val="0"/>
              <w:spacing w:line="340" w:lineRule="exac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（适用时）</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第20章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17</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拔出插头所需的力</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第22章</w:t>
            </w:r>
          </w:p>
        </w:tc>
        <w:tc>
          <w:tcPr>
            <w:tcW w:w="1395" w:type="dxa"/>
            <w:vAlign w:val="center"/>
          </w:tcPr>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强制性（适用时）</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第22章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18</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固定式插座的结构</w:t>
            </w:r>
          </w:p>
        </w:tc>
        <w:tc>
          <w:tcPr>
            <w:tcW w:w="187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第13章</w:t>
            </w:r>
          </w:p>
        </w:tc>
        <w:tc>
          <w:tcPr>
            <w:tcW w:w="1395" w:type="dxa"/>
            <w:vAlign w:val="center"/>
          </w:tcPr>
          <w:p>
            <w:pPr>
              <w:snapToGrid w:val="0"/>
              <w:spacing w:line="340" w:lineRule="exac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（适用时）</w:t>
            </w:r>
          </w:p>
        </w:tc>
        <w:tc>
          <w:tcPr>
            <w:tcW w:w="23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第13章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19</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插头和移动式插座的结构</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第14章</w:t>
            </w:r>
          </w:p>
        </w:tc>
        <w:tc>
          <w:tcPr>
            <w:tcW w:w="1395" w:type="dxa"/>
            <w:vAlign w:val="center"/>
          </w:tcPr>
          <w:p>
            <w:pPr>
              <w:snapToGrid w:val="0"/>
              <w:spacing w:line="340" w:lineRule="exac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（适用时）</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GB/T2099.3</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第14章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81" w:type="dxa"/>
            <w:vAlign w:val="center"/>
          </w:tcPr>
          <w:p>
            <w:pPr>
              <w:snapToGrid w:val="0"/>
              <w:spacing w:line="340" w:lineRule="exact"/>
              <w:jc w:val="center"/>
              <w:rPr>
                <w:rFonts w:ascii="仿宋_GB2312" w:hAnsi="宋体" w:eastAsia="仿宋_GB2312"/>
                <w:color w:val="000000"/>
                <w:sz w:val="24"/>
              </w:rPr>
            </w:pPr>
            <w:r>
              <w:rPr>
                <w:rFonts w:hint="eastAsia" w:ascii="仿宋_GB2312" w:hAnsi="宋体" w:eastAsia="仿宋_GB2312"/>
                <w:color w:val="000000"/>
                <w:sz w:val="24"/>
                <w:szCs w:val="24"/>
              </w:rPr>
              <w:t>20</w:t>
            </w:r>
          </w:p>
        </w:tc>
        <w:tc>
          <w:tcPr>
            <w:tcW w:w="1950" w:type="dxa"/>
            <w:vAlign w:val="center"/>
          </w:tcPr>
          <w:p>
            <w:pPr>
              <w:wordWrap w:val="0"/>
              <w:spacing w:line="240" w:lineRule="atLeas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软缆及其连接（保持力）</w:t>
            </w:r>
          </w:p>
        </w:tc>
        <w:tc>
          <w:tcPr>
            <w:tcW w:w="187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第23章</w:t>
            </w:r>
          </w:p>
        </w:tc>
        <w:tc>
          <w:tcPr>
            <w:tcW w:w="1395" w:type="dxa"/>
            <w:vAlign w:val="center"/>
          </w:tcPr>
          <w:p>
            <w:pPr>
              <w:snapToGrid w:val="0"/>
              <w:spacing w:line="340" w:lineRule="exact"/>
              <w:jc w:val="center"/>
              <w:rPr>
                <w:rStyle w:val="17"/>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强制性</w:t>
            </w:r>
          </w:p>
          <w:p>
            <w:pPr>
              <w:snapToGrid w:val="0"/>
              <w:spacing w:line="340" w:lineRule="exact"/>
              <w:jc w:val="center"/>
              <w:rPr>
                <w:rFonts w:ascii="仿宋_GB2312" w:hAnsi="仿宋_GB2312" w:eastAsia="仿宋_GB2312" w:cs="仿宋_GB2312"/>
                <w:color w:val="000000" w:themeColor="text1"/>
                <w:sz w:val="24"/>
                <w:szCs w:val="24"/>
              </w:rPr>
            </w:pPr>
            <w:r>
              <w:rPr>
                <w:rStyle w:val="17"/>
                <w:rFonts w:hint="eastAsia" w:ascii="仿宋_GB2312" w:hAnsi="仿宋_GB2312" w:eastAsia="仿宋_GB2312" w:cs="仿宋_GB2312"/>
                <w:color w:val="000000" w:themeColor="text1"/>
                <w:sz w:val="24"/>
                <w:szCs w:val="24"/>
              </w:rPr>
              <w:t>（适用时）</w:t>
            </w:r>
          </w:p>
        </w:tc>
        <w:tc>
          <w:tcPr>
            <w:tcW w:w="2325" w:type="dxa"/>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GB/T2099.1</w:t>
            </w:r>
          </w:p>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GB/T2099.7</w:t>
            </w:r>
          </w:p>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第23章</w:t>
            </w:r>
          </w:p>
        </w:tc>
        <w:tc>
          <w:tcPr>
            <w:tcW w:w="725"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9051" w:type="dxa"/>
            <w:gridSpan w:val="6"/>
            <w:vAlign w:val="center"/>
          </w:tcPr>
          <w:p>
            <w:pPr>
              <w:rPr>
                <w:rFonts w:ascii="仿宋_GB2312" w:hAnsi="仿宋_GB2312" w:eastAsia="仿宋_GB2312" w:cs="仿宋_GB2312"/>
                <w:color w:val="000000" w:themeColor="text1"/>
                <w:sz w:val="24"/>
                <w:szCs w:val="24"/>
              </w:rPr>
            </w:pPr>
            <w:r>
              <w:rPr>
                <w:rFonts w:hint="eastAsia" w:ascii="仿宋_GB2312" w:hAnsi="宋体" w:eastAsia="仿宋_GB2312"/>
                <w:color w:val="000000"/>
                <w:sz w:val="24"/>
                <w:szCs w:val="24"/>
              </w:rPr>
              <w:t>备注：1-15项为插座、转换器、</w:t>
            </w:r>
            <w:r>
              <w:rPr>
                <w:rFonts w:hint="eastAsia" w:ascii="仿宋_GB2312" w:hAnsi="宋体" w:eastAsia="仿宋_GB2312" w:cs="宋体"/>
                <w:bCs/>
                <w:color w:val="000000" w:themeColor="text1"/>
                <w:kern w:val="0"/>
                <w:sz w:val="24"/>
                <w:szCs w:val="20"/>
              </w:rPr>
              <w:t>延长线插座</w:t>
            </w:r>
            <w:r>
              <w:rPr>
                <w:rFonts w:hint="eastAsia" w:ascii="仿宋_GB2312" w:hAnsi="宋体" w:eastAsia="仿宋_GB2312"/>
                <w:color w:val="000000"/>
                <w:sz w:val="24"/>
                <w:szCs w:val="24"/>
              </w:rPr>
              <w:t>（插头部分）和</w:t>
            </w:r>
            <w:r>
              <w:rPr>
                <w:rFonts w:hint="eastAsia" w:ascii="仿宋_GB2312" w:hAnsi="宋体" w:eastAsia="仿宋_GB2312" w:cs="宋体"/>
                <w:bCs/>
                <w:color w:val="000000" w:themeColor="text1"/>
                <w:kern w:val="0"/>
                <w:sz w:val="24"/>
                <w:szCs w:val="20"/>
              </w:rPr>
              <w:t>延长线插座</w:t>
            </w:r>
            <w:r>
              <w:rPr>
                <w:rFonts w:hint="eastAsia" w:ascii="仿宋_GB2312" w:hAnsi="宋体" w:eastAsia="仿宋_GB2312"/>
                <w:color w:val="000000"/>
                <w:sz w:val="24"/>
                <w:szCs w:val="24"/>
              </w:rPr>
              <w:t>（插座部分）均进行检测；16-17项为插座、转换器和</w:t>
            </w:r>
            <w:r>
              <w:rPr>
                <w:rFonts w:hint="eastAsia" w:ascii="仿宋_GB2312" w:hAnsi="宋体" w:eastAsia="仿宋_GB2312" w:cs="宋体"/>
                <w:bCs/>
                <w:color w:val="000000" w:themeColor="text1"/>
                <w:kern w:val="0"/>
                <w:sz w:val="24"/>
                <w:szCs w:val="20"/>
              </w:rPr>
              <w:t>延长线插座</w:t>
            </w:r>
            <w:r>
              <w:rPr>
                <w:rFonts w:hint="eastAsia" w:ascii="仿宋_GB2312" w:hAnsi="宋体" w:eastAsia="仿宋_GB2312"/>
                <w:color w:val="000000"/>
                <w:sz w:val="24"/>
                <w:szCs w:val="24"/>
              </w:rPr>
              <w:t>（插座部分）进行检测；18项仅插座进行检测；19项为转换器、</w:t>
            </w:r>
            <w:r>
              <w:rPr>
                <w:rFonts w:hint="eastAsia" w:ascii="仿宋_GB2312" w:hAnsi="宋体" w:eastAsia="仿宋_GB2312" w:cs="宋体"/>
                <w:bCs/>
                <w:color w:val="000000" w:themeColor="text1"/>
                <w:kern w:val="0"/>
                <w:sz w:val="24"/>
                <w:szCs w:val="20"/>
              </w:rPr>
              <w:t>延长线插座</w:t>
            </w:r>
            <w:r>
              <w:rPr>
                <w:rFonts w:hint="eastAsia" w:ascii="仿宋_GB2312" w:hAnsi="宋体" w:eastAsia="仿宋_GB2312"/>
                <w:color w:val="000000"/>
                <w:sz w:val="24"/>
                <w:szCs w:val="24"/>
              </w:rPr>
              <w:t>（插头部分）和</w:t>
            </w:r>
            <w:r>
              <w:rPr>
                <w:rFonts w:hint="eastAsia" w:ascii="仿宋_GB2312" w:hAnsi="宋体" w:eastAsia="仿宋_GB2312" w:cs="宋体"/>
                <w:bCs/>
                <w:color w:val="000000" w:themeColor="text1"/>
                <w:kern w:val="0"/>
                <w:sz w:val="24"/>
                <w:szCs w:val="20"/>
              </w:rPr>
              <w:t>延长线插座</w:t>
            </w:r>
            <w:r>
              <w:rPr>
                <w:rFonts w:hint="eastAsia" w:ascii="仿宋_GB2312" w:hAnsi="宋体" w:eastAsia="仿宋_GB2312"/>
                <w:color w:val="000000"/>
                <w:sz w:val="24"/>
                <w:szCs w:val="24"/>
              </w:rPr>
              <w:t>（插座部分）均进行检测；20项为电</w:t>
            </w:r>
            <w:r>
              <w:rPr>
                <w:rFonts w:hint="eastAsia" w:ascii="仿宋_GB2312" w:hAnsi="宋体" w:eastAsia="仿宋_GB2312" w:cs="宋体"/>
                <w:bCs/>
                <w:color w:val="000000" w:themeColor="text1"/>
                <w:kern w:val="0"/>
                <w:sz w:val="24"/>
                <w:szCs w:val="20"/>
              </w:rPr>
              <w:t>延长线插座</w:t>
            </w:r>
            <w:r>
              <w:rPr>
                <w:rFonts w:hint="eastAsia" w:ascii="仿宋_GB2312" w:hAnsi="宋体" w:eastAsia="仿宋_GB2312"/>
                <w:color w:val="000000"/>
                <w:sz w:val="24"/>
                <w:szCs w:val="24"/>
              </w:rPr>
              <w:t>（插头部分）和</w:t>
            </w:r>
            <w:r>
              <w:rPr>
                <w:rFonts w:hint="eastAsia" w:ascii="仿宋_GB2312" w:hAnsi="宋体" w:eastAsia="仿宋_GB2312" w:cs="宋体"/>
                <w:bCs/>
                <w:color w:val="000000" w:themeColor="text1"/>
                <w:kern w:val="0"/>
                <w:sz w:val="24"/>
                <w:szCs w:val="20"/>
              </w:rPr>
              <w:t>延长线插座</w:t>
            </w:r>
            <w:r>
              <w:rPr>
                <w:rFonts w:hint="eastAsia" w:ascii="仿宋_GB2312" w:hAnsi="宋体" w:eastAsia="仿宋_GB2312"/>
                <w:color w:val="000000"/>
                <w:sz w:val="24"/>
                <w:szCs w:val="24"/>
              </w:rPr>
              <w:t>（插座部分）进行检测。</w:t>
            </w:r>
          </w:p>
        </w:tc>
      </w:tr>
    </w:tbl>
    <w:p>
      <w:pPr>
        <w:widowControl/>
        <w:adjustRightInd w:val="0"/>
        <w:snapToGrid w:val="0"/>
        <w:spacing w:line="640" w:lineRule="exact"/>
        <w:ind w:firstLine="562" w:firstLineChars="200"/>
        <w:jc w:val="center"/>
        <w:rPr>
          <w:rFonts w:ascii="黑体" w:hAnsi="黑体" w:eastAsia="黑体" w:cs="黑体"/>
          <w:b/>
          <w:bCs/>
          <w:color w:val="000000" w:themeColor="text1"/>
          <w:kern w:val="0"/>
          <w:sz w:val="28"/>
          <w:szCs w:val="28"/>
        </w:rPr>
      </w:pPr>
    </w:p>
    <w:p>
      <w:pPr>
        <w:widowControl/>
        <w:adjustRightInd w:val="0"/>
        <w:snapToGrid w:val="0"/>
        <w:spacing w:line="640" w:lineRule="exact"/>
        <w:ind w:firstLine="560" w:firstLineChars="200"/>
        <w:jc w:val="center"/>
        <w:rPr>
          <w:rFonts w:ascii="黑体" w:hAnsi="黑体" w:eastAsia="黑体" w:cs="黑体"/>
          <w:color w:val="000000" w:themeColor="text1"/>
          <w:kern w:val="0"/>
          <w:sz w:val="28"/>
          <w:szCs w:val="28"/>
        </w:rPr>
      </w:pPr>
      <w:r>
        <w:rPr>
          <w:rFonts w:hint="eastAsia" w:ascii="黑体" w:hAnsi="黑体" w:eastAsia="黑体" w:cs="黑体"/>
          <w:color w:val="000000" w:themeColor="text1"/>
          <w:kern w:val="0"/>
          <w:sz w:val="28"/>
          <w:szCs w:val="28"/>
        </w:rPr>
        <w:t>表5  开关类</w:t>
      </w:r>
    </w:p>
    <w:tbl>
      <w:tblPr>
        <w:tblStyle w:val="19"/>
        <w:tblW w:w="90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35"/>
        <w:gridCol w:w="1875"/>
        <w:gridCol w:w="1395"/>
        <w:gridCol w:w="2325"/>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796" w:type="dxa"/>
            <w:vAlign w:val="center"/>
          </w:tcPr>
          <w:p>
            <w:pPr>
              <w:widowControl/>
              <w:snapToGrid w:val="0"/>
              <w:jc w:val="center"/>
              <w:rPr>
                <w:rFonts w:ascii="黑体" w:hAnsi="黑体" w:eastAsia="黑体" w:cs="黑体"/>
                <w:color w:val="000000" w:themeColor="text1"/>
                <w:sz w:val="24"/>
                <w:szCs w:val="24"/>
              </w:rPr>
            </w:pPr>
            <w:r>
              <w:rPr>
                <w:rFonts w:hint="eastAsia" w:ascii="黑体" w:hAnsi="黑体" w:eastAsia="黑体" w:cs="黑体"/>
                <w:bCs/>
                <w:color w:val="000000" w:themeColor="text1"/>
                <w:sz w:val="24"/>
                <w:szCs w:val="24"/>
              </w:rPr>
              <w:t>序号</w:t>
            </w:r>
          </w:p>
        </w:tc>
        <w:tc>
          <w:tcPr>
            <w:tcW w:w="1935" w:type="dxa"/>
            <w:vAlign w:val="center"/>
          </w:tcPr>
          <w:p>
            <w:pPr>
              <w:widowControl/>
              <w:snapToGrid w:val="0"/>
              <w:jc w:val="center"/>
              <w:rPr>
                <w:rFonts w:ascii="黑体" w:hAnsi="黑体" w:eastAsia="黑体" w:cs="黑体"/>
                <w:color w:val="000000" w:themeColor="text1"/>
                <w:sz w:val="24"/>
                <w:szCs w:val="24"/>
              </w:rPr>
            </w:pPr>
            <w:r>
              <w:rPr>
                <w:rFonts w:hint="eastAsia" w:ascii="黑体" w:hAnsi="黑体" w:eastAsia="黑体" w:cs="黑体"/>
                <w:bCs/>
                <w:color w:val="000000" w:themeColor="text1"/>
                <w:sz w:val="24"/>
                <w:szCs w:val="24"/>
              </w:rPr>
              <w:t>检验项目</w:t>
            </w:r>
          </w:p>
        </w:tc>
        <w:tc>
          <w:tcPr>
            <w:tcW w:w="1875" w:type="dxa"/>
            <w:vAlign w:val="center"/>
          </w:tcPr>
          <w:p>
            <w:pPr>
              <w:widowControl/>
              <w:snapToGrid w:val="0"/>
              <w:jc w:val="center"/>
              <w:rPr>
                <w:rFonts w:ascii="黑体" w:hAnsi="黑体" w:eastAsia="黑体" w:cs="黑体"/>
                <w:color w:val="000000" w:themeColor="text1"/>
                <w:sz w:val="24"/>
                <w:szCs w:val="24"/>
              </w:rPr>
            </w:pPr>
            <w:r>
              <w:rPr>
                <w:rFonts w:hint="eastAsia" w:ascii="黑体" w:hAnsi="黑体" w:eastAsia="黑体" w:cs="黑体"/>
                <w:bCs/>
                <w:color w:val="000000" w:themeColor="text1"/>
                <w:sz w:val="24"/>
                <w:szCs w:val="24"/>
              </w:rPr>
              <w:t>检测依据</w:t>
            </w:r>
          </w:p>
        </w:tc>
        <w:tc>
          <w:tcPr>
            <w:tcW w:w="1395" w:type="dxa"/>
            <w:vAlign w:val="center"/>
          </w:tcPr>
          <w:p>
            <w:pPr>
              <w:widowControl/>
              <w:snapToGrid w:val="0"/>
              <w:jc w:val="center"/>
              <w:rPr>
                <w:rFonts w:ascii="黑体" w:hAnsi="黑体" w:eastAsia="黑体" w:cs="黑体"/>
                <w:bCs/>
                <w:color w:val="000000" w:themeColor="text1"/>
                <w:sz w:val="24"/>
                <w:szCs w:val="24"/>
              </w:rPr>
            </w:pPr>
            <w:r>
              <w:rPr>
                <w:rFonts w:hint="eastAsia" w:ascii="黑体" w:hAnsi="黑体" w:eastAsia="黑体" w:cs="黑体"/>
                <w:bCs/>
                <w:color w:val="000000" w:themeColor="text1"/>
                <w:sz w:val="24"/>
                <w:szCs w:val="24"/>
              </w:rPr>
              <w:t>强制性/</w:t>
            </w:r>
          </w:p>
          <w:p>
            <w:pPr>
              <w:widowControl/>
              <w:snapToGrid w:val="0"/>
              <w:jc w:val="center"/>
              <w:rPr>
                <w:rFonts w:ascii="黑体" w:hAnsi="黑体" w:eastAsia="黑体" w:cs="黑体"/>
                <w:color w:val="000000" w:themeColor="text1"/>
                <w:sz w:val="24"/>
                <w:szCs w:val="24"/>
              </w:rPr>
            </w:pPr>
            <w:r>
              <w:rPr>
                <w:rFonts w:hint="eastAsia" w:ascii="黑体" w:hAnsi="黑体" w:eastAsia="黑体" w:cs="黑体"/>
                <w:bCs/>
                <w:color w:val="000000" w:themeColor="text1"/>
                <w:sz w:val="24"/>
                <w:szCs w:val="24"/>
              </w:rPr>
              <w:t>推荐性</w:t>
            </w:r>
          </w:p>
        </w:tc>
        <w:tc>
          <w:tcPr>
            <w:tcW w:w="2325" w:type="dxa"/>
            <w:vAlign w:val="center"/>
          </w:tcPr>
          <w:p>
            <w:pPr>
              <w:widowControl/>
              <w:snapToGrid w:val="0"/>
              <w:jc w:val="center"/>
              <w:rPr>
                <w:rFonts w:ascii="黑体" w:hAnsi="黑体" w:eastAsia="黑体" w:cs="黑体"/>
                <w:color w:val="000000" w:themeColor="text1"/>
                <w:sz w:val="24"/>
                <w:szCs w:val="24"/>
              </w:rPr>
            </w:pPr>
            <w:r>
              <w:rPr>
                <w:rFonts w:hint="eastAsia" w:ascii="黑体" w:hAnsi="黑体" w:eastAsia="黑体" w:cs="黑体"/>
                <w:bCs/>
                <w:color w:val="000000" w:themeColor="text1"/>
                <w:sz w:val="24"/>
                <w:szCs w:val="24"/>
              </w:rPr>
              <w:t>检测方法</w:t>
            </w:r>
          </w:p>
        </w:tc>
        <w:tc>
          <w:tcPr>
            <w:tcW w:w="724" w:type="dxa"/>
          </w:tcPr>
          <w:p>
            <w:pPr>
              <w:snapToGrid w:val="0"/>
              <w:spacing w:line="340" w:lineRule="exact"/>
              <w:jc w:val="center"/>
              <w:rPr>
                <w:rFonts w:ascii="黑体" w:hAnsi="黑体" w:eastAsia="黑体" w:cs="黑体"/>
                <w:bCs/>
                <w:color w:val="000000" w:themeColor="text1"/>
                <w:sz w:val="24"/>
                <w:szCs w:val="24"/>
              </w:rPr>
            </w:pPr>
            <w:r>
              <w:rPr>
                <w:rFonts w:hint="eastAsia" w:ascii="黑体" w:hAnsi="黑体" w:eastAsia="黑体" w:cs="黑体"/>
                <w:color w:val="000000" w:themeColor="text1"/>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935" w:type="dxa"/>
            <w:vAlign w:val="center"/>
          </w:tcPr>
          <w:p>
            <w:pPr>
              <w:pStyle w:val="12"/>
              <w:tabs>
                <w:tab w:val="clear" w:pos="4153"/>
                <w:tab w:val="clear" w:pos="8306"/>
              </w:tabs>
              <w:spacing w:line="340" w:lineRule="exact"/>
              <w:rPr>
                <w:rFonts w:ascii="仿宋_GB2312" w:hAnsi="宋体" w:eastAsia="仿宋_GB2312"/>
                <w:sz w:val="24"/>
                <w:szCs w:val="24"/>
              </w:rPr>
            </w:pPr>
            <w:r>
              <w:rPr>
                <w:rFonts w:hint="eastAsia" w:ascii="仿宋_GB2312" w:hAnsi="宋体" w:eastAsia="仿宋_GB2312"/>
                <w:b w:val="0"/>
                <w:bCs/>
                <w:sz w:val="24"/>
                <w:szCs w:val="24"/>
              </w:rPr>
              <w:t>标志</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GB/T16915.1第8章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GB/T16915.1第8章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防触电保护</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GB/T16915.1第10章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GB/T16915.1第10章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接地措施</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GB/T16915.1第11章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强制（适用时）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GB/T16915.1第11章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端子（一般要求）</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GB/T16915.1第12章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GB/T16915.1第12章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结构要求</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GB/T16915.1第13章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强制（适用时）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GB/T16915.1第13章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开关机构</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GB/T16915.1第14章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强制（适用时）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GB/T16915.1第14章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防潮</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GB/T16915.1第15章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GB/T16915.1第15章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绝缘电阻和电气强度</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GB/T16915.1第16章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GB/T16915.1第16章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温升</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GB/T16915.1第17章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GB/T16915.1第17章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机械强度（摆锤试验）</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GB/T16915.1第20章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强制（适用时）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GB/T16915.1第20章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耐热</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GB/T16915.1第21章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强制（适用时）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GB/T16915.1第21章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螺钉、载流部件及其连接</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GB/T16915.1第22章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GB/T16915.1第22章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爬电距离、电气间隙和通过密封胶的距离</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GB/T16915.1第23章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GB/T16915.1第23章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绝缘材料的耐非常热、耐燃和耐漏电起痕</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GB/T16915.1第24章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GB/T16915.1第24章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796"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193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防锈性能</w:t>
            </w:r>
          </w:p>
        </w:tc>
        <w:tc>
          <w:tcPr>
            <w:tcW w:w="187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GB/T16915.1第25章</w:t>
            </w:r>
          </w:p>
        </w:tc>
        <w:tc>
          <w:tcPr>
            <w:tcW w:w="139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强制（适用时）</w:t>
            </w:r>
          </w:p>
        </w:tc>
        <w:tc>
          <w:tcPr>
            <w:tcW w:w="2325" w:type="dxa"/>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GB/T16915.1第25章</w:t>
            </w:r>
          </w:p>
        </w:tc>
        <w:tc>
          <w:tcPr>
            <w:tcW w:w="724" w:type="dxa"/>
            <w:vAlign w:val="center"/>
          </w:tcPr>
          <w:p>
            <w:pPr>
              <w:snapToGrid w:val="0"/>
              <w:spacing w:line="34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bl>
    <w:p>
      <w:pPr>
        <w:snapToGrid w:val="0"/>
        <w:spacing w:line="360" w:lineRule="auto"/>
        <w:rPr>
          <w:rStyle w:val="18"/>
          <w:rFonts w:ascii="Times New Roman" w:hAnsi="Times New Roman" w:eastAsia="宋体" w:cs="Times New Roman"/>
          <w:color w:val="000000" w:themeColor="text1"/>
        </w:rPr>
      </w:pPr>
    </w:p>
    <w:p>
      <w:pPr>
        <w:snapToGrid w:val="0"/>
        <w:spacing w:line="360" w:lineRule="auto"/>
        <w:rPr>
          <w:rFonts w:ascii="仿宋_GB2312" w:hAnsi="宋体" w:eastAsia="仿宋_GB2312" w:cs="Times New Roman"/>
          <w:b/>
          <w:color w:val="000000" w:themeColor="text1"/>
          <w:sz w:val="28"/>
          <w:szCs w:val="28"/>
        </w:rPr>
      </w:pPr>
      <w:r>
        <w:rPr>
          <w:rFonts w:hint="eastAsia" w:ascii="仿宋_GB2312" w:hAnsi="Calibri" w:eastAsia="仿宋_GB2312" w:cs="Sim Sun"/>
          <w:b/>
          <w:color w:val="000000" w:themeColor="text1"/>
          <w:kern w:val="0"/>
          <w:sz w:val="28"/>
          <w:szCs w:val="28"/>
        </w:rPr>
        <w:t>6.</w:t>
      </w:r>
      <w:r>
        <w:rPr>
          <w:rFonts w:ascii="仿宋_GB2312" w:hAnsi="Calibri" w:eastAsia="仿宋_GB2312" w:cs="Sim Sun"/>
          <w:b/>
          <w:color w:val="000000" w:themeColor="text1"/>
          <w:kern w:val="0"/>
          <w:sz w:val="28"/>
          <w:szCs w:val="28"/>
        </w:rPr>
        <w:t>2</w:t>
      </w:r>
      <w:r>
        <w:rPr>
          <w:rFonts w:hint="eastAsia" w:ascii="仿宋_GB2312" w:hAnsi="Calibri" w:eastAsia="仿宋_GB2312" w:cs="Sim Sun"/>
          <w:b/>
          <w:color w:val="000000" w:themeColor="text1"/>
          <w:kern w:val="0"/>
          <w:sz w:val="28"/>
          <w:szCs w:val="28"/>
        </w:rPr>
        <w:t xml:space="preserve"> 检验应注意的问题</w:t>
      </w:r>
    </w:p>
    <w:p>
      <w:pPr>
        <w:snapToGrid w:val="0"/>
        <w:spacing w:line="360" w:lineRule="auto"/>
        <w:rPr>
          <w:rFonts w:ascii="仿宋_GB2312" w:hAnsi="宋体" w:eastAsia="仿宋_GB2312" w:cs="Times New Roman"/>
          <w:iCs/>
          <w:color w:val="000000" w:themeColor="text1"/>
          <w:sz w:val="28"/>
          <w:szCs w:val="28"/>
        </w:rPr>
      </w:pPr>
      <w:r>
        <w:rPr>
          <w:rFonts w:hint="eastAsia" w:ascii="仿宋_GB2312" w:hAnsi="Calibri" w:eastAsia="仿宋_GB2312" w:cs="Sim Sun"/>
          <w:b/>
          <w:color w:val="000000" w:themeColor="text1"/>
          <w:kern w:val="0"/>
          <w:sz w:val="28"/>
          <w:szCs w:val="28"/>
        </w:rPr>
        <w:t>6.</w:t>
      </w:r>
      <w:r>
        <w:rPr>
          <w:rFonts w:ascii="仿宋_GB2312" w:hAnsi="Calibri" w:eastAsia="仿宋_GB2312" w:cs="Sim Sun"/>
          <w:b/>
          <w:color w:val="000000" w:themeColor="text1"/>
          <w:kern w:val="0"/>
          <w:sz w:val="28"/>
          <w:szCs w:val="28"/>
        </w:rPr>
        <w:t>2</w:t>
      </w:r>
      <w:r>
        <w:rPr>
          <w:rFonts w:hint="eastAsia" w:ascii="仿宋_GB2312" w:hAnsi="Calibri" w:eastAsia="仿宋_GB2312" w:cs="Sim Sun"/>
          <w:b/>
          <w:color w:val="000000" w:themeColor="text1"/>
          <w:kern w:val="0"/>
          <w:sz w:val="28"/>
          <w:szCs w:val="28"/>
        </w:rPr>
        <w:t>.1</w:t>
      </w:r>
      <w:r>
        <w:rPr>
          <w:rFonts w:hint="eastAsia" w:ascii="仿宋_GB2312" w:hAnsi="Calibri" w:eastAsia="仿宋_GB2312" w:cs="Sim Sun"/>
          <w:color w:val="000000" w:themeColor="text1"/>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color w:val="000000" w:themeColor="text1"/>
          <w:sz w:val="28"/>
          <w:szCs w:val="28"/>
        </w:rPr>
        <w:t>备用</w:t>
      </w:r>
      <w:r>
        <w:rPr>
          <w:rFonts w:hint="eastAsia" w:ascii="仿宋_GB2312" w:hAnsi="宋体" w:eastAsia="仿宋_GB2312" w:cs="Times New Roman"/>
          <w:iCs/>
          <w:color w:val="000000" w:themeColor="text1"/>
          <w:sz w:val="28"/>
          <w:szCs w:val="28"/>
        </w:rPr>
        <w:t>样品应该贮存在阴凉、干燥、安全、避光处，在整个保存期间应保证签封完整无损。</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6.2.2</w:t>
      </w:r>
      <w:r>
        <w:rPr>
          <w:rFonts w:hint="eastAsia" w:ascii="仿宋_GB2312" w:eastAsia="仿宋_GB2312" w:cs="Sim Sun"/>
          <w:color w:val="000000" w:themeColor="text1"/>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6.2.3</w:t>
      </w:r>
      <w:r>
        <w:rPr>
          <w:rFonts w:hint="eastAsia" w:ascii="仿宋_GB2312" w:eastAsia="仿宋_GB2312" w:cs="Sim Sun"/>
          <w:color w:val="000000" w:themeColor="text1"/>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color w:val="000000" w:themeColor="text1"/>
          <w:kern w:val="0"/>
          <w:sz w:val="28"/>
          <w:szCs w:val="28"/>
        </w:rPr>
      </w:pPr>
      <w:r>
        <w:rPr>
          <w:rFonts w:hint="eastAsia" w:ascii="仿宋_GB2312" w:hAnsi="Calibri" w:eastAsia="仿宋_GB2312" w:cs="Sim Sun"/>
          <w:b/>
          <w:color w:val="000000" w:themeColor="text1"/>
          <w:kern w:val="0"/>
          <w:sz w:val="28"/>
          <w:szCs w:val="28"/>
        </w:rPr>
        <w:t>7 判定原则</w:t>
      </w:r>
    </w:p>
    <w:p>
      <w:pPr>
        <w:snapToGrid w:val="0"/>
        <w:spacing w:line="360" w:lineRule="auto"/>
        <w:ind w:firstLine="560" w:firstLineChars="200"/>
        <w:rPr>
          <w:color w:val="000000" w:themeColor="text1"/>
          <w:sz w:val="28"/>
          <w:szCs w:val="28"/>
        </w:rPr>
      </w:pPr>
      <w:r>
        <w:rPr>
          <w:rFonts w:hint="eastAsia" w:ascii="仿宋_GB2312" w:eastAsia="仿宋_GB2312" w:cs="Sim Sun"/>
          <w:iCs/>
          <w:color w:val="000000" w:themeColor="text1"/>
          <w:kern w:val="0"/>
          <w:sz w:val="28"/>
          <w:szCs w:val="28"/>
        </w:rPr>
        <w:t>产品所有检测项目均合格则判定该产品本次检验合格；若出现2只或2只以上样品不符合该项目要求，则判定本产品该项目不合格；若只出现1只样品不符合该项目要求，再另取3只检验样品进行检测，需全部符合该项目要求，则可判定本产品该项目合格，再进行试验的3只检验样品中只要出现1只样品不符合该项目要求，则判定本产品该项目不合格。</w:t>
      </w:r>
    </w:p>
    <w:p>
      <w:pPr>
        <w:snapToGrid w:val="0"/>
        <w:spacing w:line="360" w:lineRule="auto"/>
        <w:rPr>
          <w:rFonts w:ascii="仿宋_GB2312" w:hAnsi="Calibri" w:eastAsia="仿宋_GB2312" w:cs="Sim Sun"/>
          <w:b/>
          <w:color w:val="000000" w:themeColor="text1"/>
          <w:kern w:val="0"/>
          <w:sz w:val="28"/>
          <w:szCs w:val="28"/>
        </w:rPr>
      </w:pPr>
      <w:r>
        <w:rPr>
          <w:rFonts w:hint="eastAsia" w:ascii="仿宋_GB2312" w:hAnsi="Calibri" w:eastAsia="仿宋_GB2312" w:cs="Sim Sun"/>
          <w:b/>
          <w:color w:val="000000" w:themeColor="text1"/>
          <w:kern w:val="0"/>
          <w:sz w:val="28"/>
          <w:szCs w:val="28"/>
        </w:rPr>
        <w:t>8 异议处理复检</w:t>
      </w:r>
    </w:p>
    <w:p>
      <w:pPr>
        <w:snapToGrid w:val="0"/>
        <w:spacing w:line="360" w:lineRule="auto"/>
        <w:rPr>
          <w:rFonts w:ascii="仿宋_GB2312" w:eastAsia="仿宋_GB2312" w:cs="Sim Sun"/>
          <w:iCs/>
          <w:color w:val="000000" w:themeColor="text1"/>
          <w:kern w:val="0"/>
          <w:sz w:val="28"/>
          <w:szCs w:val="28"/>
        </w:rPr>
      </w:pPr>
      <w:r>
        <w:rPr>
          <w:rFonts w:ascii="仿宋_GB2312" w:eastAsia="仿宋_GB2312" w:cs="Sim Sun"/>
          <w:b/>
          <w:iCs/>
          <w:color w:val="000000" w:themeColor="text1"/>
          <w:kern w:val="0"/>
          <w:sz w:val="28"/>
          <w:szCs w:val="28"/>
        </w:rPr>
        <w:t>8</w:t>
      </w:r>
      <w:r>
        <w:rPr>
          <w:rFonts w:hint="eastAsia" w:ascii="仿宋_GB2312" w:eastAsia="仿宋_GB2312" w:cs="Sim Sun"/>
          <w:b/>
          <w:iCs/>
          <w:color w:val="000000" w:themeColor="text1"/>
          <w:kern w:val="0"/>
          <w:sz w:val="28"/>
          <w:szCs w:val="28"/>
        </w:rPr>
        <w:t>.1</w:t>
      </w:r>
      <w:r>
        <w:rPr>
          <w:rFonts w:hint="eastAsia" w:ascii="仿宋_GB2312" w:eastAsia="仿宋_GB2312" w:cs="Sim Sun"/>
          <w:iCs/>
          <w:color w:val="000000" w:themeColor="text1"/>
          <w:kern w:val="0"/>
          <w:sz w:val="28"/>
          <w:szCs w:val="28"/>
        </w:rPr>
        <w:t>被抽查企业在收到检验结果，对结果有异议时，</w:t>
      </w:r>
      <w:r>
        <w:rPr>
          <w:rFonts w:ascii="仿宋_GB2312" w:eastAsia="仿宋_GB2312" w:cs="Sim Sun"/>
          <w:iCs/>
          <w:color w:val="000000" w:themeColor="text1"/>
          <w:kern w:val="0"/>
          <w:sz w:val="28"/>
          <w:szCs w:val="28"/>
        </w:rPr>
        <w:t>可以自收到检验结果之日起15日内向</w:t>
      </w:r>
      <w:r>
        <w:rPr>
          <w:rFonts w:hint="eastAsia" w:ascii="仿宋_GB2312" w:eastAsia="仿宋_GB2312" w:cs="Sim Sun"/>
          <w:iCs/>
          <w:color w:val="000000" w:themeColor="text1"/>
          <w:kern w:val="0"/>
          <w:sz w:val="28"/>
          <w:szCs w:val="28"/>
        </w:rPr>
        <w:t>深圳市市场监督管理局</w:t>
      </w:r>
      <w:r>
        <w:rPr>
          <w:rFonts w:ascii="仿宋_GB2312" w:eastAsia="仿宋_GB2312" w:cs="Sim Sun"/>
          <w:iCs/>
          <w:color w:val="000000" w:themeColor="text1"/>
          <w:kern w:val="0"/>
          <w:sz w:val="28"/>
          <w:szCs w:val="28"/>
        </w:rPr>
        <w:t>提出书面复检申请。逾期未提出异议的，视为承认检验结果。</w:t>
      </w:r>
    </w:p>
    <w:p>
      <w:pPr>
        <w:snapToGrid w:val="0"/>
        <w:spacing w:line="360" w:lineRule="auto"/>
        <w:rPr>
          <w:rFonts w:ascii="仿宋_GB2312" w:eastAsia="仿宋_GB2312" w:cs="Sim Sun"/>
          <w:iCs/>
          <w:color w:val="000000" w:themeColor="text1"/>
          <w:kern w:val="0"/>
          <w:sz w:val="28"/>
          <w:szCs w:val="28"/>
        </w:rPr>
      </w:pPr>
      <w:r>
        <w:rPr>
          <w:rFonts w:ascii="仿宋_GB2312" w:eastAsia="仿宋_GB2312" w:cs="Sim Sun"/>
          <w:b/>
          <w:iCs/>
          <w:color w:val="000000" w:themeColor="text1"/>
          <w:kern w:val="0"/>
          <w:sz w:val="28"/>
          <w:szCs w:val="28"/>
        </w:rPr>
        <w:t>8</w:t>
      </w:r>
      <w:r>
        <w:rPr>
          <w:rFonts w:hint="eastAsia" w:ascii="仿宋_GB2312" w:eastAsia="仿宋_GB2312" w:cs="Sim Sun"/>
          <w:b/>
          <w:iCs/>
          <w:color w:val="000000" w:themeColor="text1"/>
          <w:kern w:val="0"/>
          <w:sz w:val="28"/>
          <w:szCs w:val="28"/>
        </w:rPr>
        <w:t>.2</w:t>
      </w:r>
      <w:r>
        <w:rPr>
          <w:rFonts w:ascii="仿宋_GB2312" w:eastAsia="仿宋_GB2312" w:cs="Sim Sun"/>
          <w:iCs/>
          <w:color w:val="000000" w:themeColor="text1"/>
          <w:kern w:val="0"/>
          <w:sz w:val="28"/>
          <w:szCs w:val="28"/>
        </w:rPr>
        <w:t>检验机构</w:t>
      </w:r>
      <w:r>
        <w:rPr>
          <w:rFonts w:hint="eastAsia" w:ascii="仿宋_GB2312" w:eastAsia="仿宋_GB2312" w:cs="Sim Sun"/>
          <w:iCs/>
          <w:color w:val="000000" w:themeColor="text1"/>
          <w:kern w:val="0"/>
          <w:sz w:val="28"/>
          <w:szCs w:val="28"/>
        </w:rPr>
        <w:t>接到深圳市市场监督管理局的复检通知后</w:t>
      </w:r>
      <w:r>
        <w:rPr>
          <w:rFonts w:ascii="仿宋_GB2312" w:eastAsia="仿宋_GB2312" w:cs="Sim Sun"/>
          <w:iCs/>
          <w:color w:val="000000" w:themeColor="text1"/>
          <w:kern w:val="0"/>
          <w:sz w:val="28"/>
          <w:szCs w:val="28"/>
        </w:rPr>
        <w:t>应当按原监督抽查方案</w:t>
      </w:r>
      <w:r>
        <w:rPr>
          <w:rFonts w:hint="eastAsia" w:ascii="仿宋_GB2312" w:eastAsia="仿宋_GB2312" w:cs="Sim Sun"/>
          <w:iCs/>
          <w:color w:val="000000" w:themeColor="text1"/>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color w:val="000000" w:themeColor="text1"/>
          <w:kern w:val="0"/>
          <w:sz w:val="28"/>
          <w:szCs w:val="28"/>
        </w:rPr>
        <w:t>的结论。</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8.</w:t>
      </w:r>
      <w:r>
        <w:rPr>
          <w:rFonts w:ascii="仿宋_GB2312" w:eastAsia="仿宋_GB2312" w:cs="Sim Sun"/>
          <w:b/>
          <w:color w:val="000000" w:themeColor="text1"/>
          <w:kern w:val="0"/>
          <w:sz w:val="28"/>
          <w:szCs w:val="28"/>
        </w:rPr>
        <w:t>3</w:t>
      </w:r>
      <w:r>
        <w:rPr>
          <w:rFonts w:hint="eastAsia" w:ascii="仿宋_GB2312" w:eastAsia="仿宋_GB2312" w:cs="Sim Sun"/>
          <w:iCs/>
          <w:color w:val="000000" w:themeColor="text1"/>
          <w:kern w:val="0"/>
          <w:sz w:val="28"/>
          <w:szCs w:val="28"/>
        </w:rPr>
        <w:t>复验</w:t>
      </w:r>
      <w:r>
        <w:rPr>
          <w:rFonts w:ascii="仿宋_GB2312" w:eastAsia="仿宋_GB2312" w:cs="Sim Sun"/>
          <w:iCs/>
          <w:color w:val="000000" w:themeColor="text1"/>
          <w:kern w:val="0"/>
          <w:sz w:val="28"/>
          <w:szCs w:val="28"/>
        </w:rPr>
        <w:t>检验人员与初检检验人员不得为同一人。</w:t>
      </w:r>
    </w:p>
    <w:p>
      <w:pPr>
        <w:snapToGrid w:val="0"/>
        <w:spacing w:line="360" w:lineRule="auto"/>
        <w:rPr>
          <w:rFonts w:ascii="仿宋_GB2312" w:eastAsia="仿宋_GB2312" w:cs="Sim Sun"/>
          <w:b/>
          <w:iCs/>
          <w:color w:val="000000" w:themeColor="text1"/>
          <w:kern w:val="0"/>
          <w:sz w:val="28"/>
          <w:szCs w:val="28"/>
        </w:rPr>
      </w:pPr>
      <w:r>
        <w:rPr>
          <w:rFonts w:hint="eastAsia" w:ascii="仿宋_GB2312" w:eastAsia="仿宋_GB2312" w:cs="Sim Sun"/>
          <w:b/>
          <w:color w:val="000000" w:themeColor="text1"/>
          <w:kern w:val="0"/>
          <w:sz w:val="28"/>
          <w:szCs w:val="28"/>
        </w:rPr>
        <w:t>8.4</w:t>
      </w:r>
      <w:r>
        <w:rPr>
          <w:rFonts w:hint="eastAsia" w:ascii="仿宋_GB2312" w:eastAsia="仿宋_GB2312" w:cs="Sim Sun"/>
          <w:color w:val="000000" w:themeColor="text1"/>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iCs/>
          <w:color w:val="000000" w:themeColor="text1"/>
          <w:kern w:val="0"/>
          <w:sz w:val="28"/>
          <w:szCs w:val="28"/>
        </w:rPr>
      </w:pPr>
      <w:r>
        <w:rPr>
          <w:rFonts w:hint="eastAsia" w:ascii="仿宋_GB2312" w:eastAsia="仿宋_GB2312" w:cs="Sim Sun"/>
          <w:b/>
          <w:iCs/>
          <w:color w:val="000000" w:themeColor="text1"/>
          <w:kern w:val="0"/>
          <w:sz w:val="28"/>
          <w:szCs w:val="28"/>
        </w:rPr>
        <w:t>8.5</w:t>
      </w:r>
      <w:r>
        <w:rPr>
          <w:rFonts w:hint="eastAsia" w:ascii="仿宋_GB2312" w:eastAsia="仿宋_GB2312" w:cs="Sim Sun"/>
          <w:iCs/>
          <w:color w:val="000000" w:themeColor="text1"/>
          <w:kern w:val="0"/>
          <w:sz w:val="28"/>
          <w:szCs w:val="28"/>
        </w:rPr>
        <w:t>深圳市市场监督管理局根据初检</w:t>
      </w:r>
      <w:r>
        <w:rPr>
          <w:rFonts w:ascii="仿宋_GB2312" w:eastAsia="仿宋_GB2312" w:cs="Sim Sun"/>
          <w:iCs/>
          <w:color w:val="000000" w:themeColor="text1"/>
          <w:kern w:val="0"/>
          <w:sz w:val="28"/>
          <w:szCs w:val="28"/>
        </w:rPr>
        <w:t>、复</w:t>
      </w:r>
      <w:r>
        <w:rPr>
          <w:rFonts w:hint="eastAsia" w:ascii="仿宋_GB2312" w:eastAsia="仿宋_GB2312" w:cs="Sim Sun"/>
          <w:iCs/>
          <w:color w:val="000000" w:themeColor="text1"/>
          <w:kern w:val="0"/>
          <w:sz w:val="28"/>
          <w:szCs w:val="28"/>
        </w:rPr>
        <w:t>验</w:t>
      </w:r>
      <w:r>
        <w:rPr>
          <w:rFonts w:ascii="仿宋_GB2312" w:eastAsia="仿宋_GB2312" w:cs="Sim Sun"/>
          <w:iCs/>
          <w:color w:val="000000" w:themeColor="text1"/>
          <w:kern w:val="0"/>
          <w:sz w:val="28"/>
          <w:szCs w:val="28"/>
        </w:rPr>
        <w:t>结果及企业提交的</w:t>
      </w:r>
      <w:r>
        <w:rPr>
          <w:rFonts w:hint="eastAsia" w:ascii="仿宋_GB2312" w:eastAsia="仿宋_GB2312" w:cs="Sim Sun"/>
          <w:iCs/>
          <w:color w:val="000000" w:themeColor="text1"/>
          <w:kern w:val="0"/>
          <w:sz w:val="28"/>
          <w:szCs w:val="28"/>
        </w:rPr>
        <w:t>证明</w:t>
      </w:r>
      <w:r>
        <w:rPr>
          <w:rFonts w:ascii="仿宋_GB2312" w:eastAsia="仿宋_GB2312" w:cs="Sim Sun"/>
          <w:iCs/>
          <w:color w:val="000000" w:themeColor="text1"/>
          <w:kern w:val="0"/>
          <w:sz w:val="28"/>
          <w:szCs w:val="28"/>
        </w:rPr>
        <w:t>材料，做出复检结论</w:t>
      </w:r>
      <w:r>
        <w:rPr>
          <w:rFonts w:hint="eastAsia" w:ascii="仿宋_GB2312" w:eastAsia="仿宋_GB2312" w:cs="Sim Sun"/>
          <w:iCs/>
          <w:color w:val="000000" w:themeColor="text1"/>
          <w:kern w:val="0"/>
          <w:sz w:val="28"/>
          <w:szCs w:val="28"/>
        </w:rPr>
        <w:t>，</w:t>
      </w:r>
      <w:r>
        <w:rPr>
          <w:rFonts w:ascii="仿宋_GB2312" w:eastAsia="仿宋_GB2312" w:cs="Sim Sun"/>
          <w:iCs/>
          <w:color w:val="000000" w:themeColor="text1"/>
          <w:kern w:val="0"/>
          <w:sz w:val="28"/>
          <w:szCs w:val="28"/>
        </w:rPr>
        <w:t>复检结论为最终结论。</w:t>
      </w:r>
    </w:p>
    <w:p>
      <w:pPr>
        <w:snapToGrid w:val="0"/>
        <w:spacing w:line="360" w:lineRule="auto"/>
        <w:rPr>
          <w:rFonts w:ascii="仿宋_GB2312" w:hAnsi="宋体" w:eastAsia="仿宋_GB2312"/>
          <w:b/>
          <w:color w:val="000000" w:themeColor="text1"/>
          <w:sz w:val="28"/>
          <w:szCs w:val="28"/>
        </w:rPr>
      </w:pPr>
      <w:r>
        <w:rPr>
          <w:rFonts w:ascii="仿宋_GB2312" w:hAnsi="宋体" w:eastAsia="仿宋_GB2312"/>
          <w:b/>
          <w:color w:val="000000" w:themeColor="text1"/>
          <w:sz w:val="28"/>
          <w:szCs w:val="28"/>
        </w:rPr>
        <w:t>9</w:t>
      </w:r>
      <w:r>
        <w:rPr>
          <w:rFonts w:hint="eastAsia" w:ascii="仿宋_GB2312" w:hAnsi="宋体" w:eastAsia="仿宋_GB2312"/>
          <w:b/>
          <w:color w:val="000000" w:themeColor="text1"/>
          <w:sz w:val="28"/>
          <w:szCs w:val="28"/>
        </w:rPr>
        <w:t xml:space="preserve"> 附则</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本规范编制单位：</w:t>
      </w:r>
      <w:r>
        <w:rPr>
          <w:rFonts w:hint="eastAsia" w:ascii="仿宋_GB2312" w:eastAsia="仿宋_GB2312"/>
          <w:color w:val="000000" w:themeColor="text1"/>
          <w:sz w:val="28"/>
          <w:szCs w:val="28"/>
        </w:rPr>
        <w:t>深圳市计量质量检测研究院</w:t>
      </w:r>
      <w:r>
        <w:rPr>
          <w:rFonts w:hint="eastAsia" w:ascii="仿宋_GB2312" w:hAnsi="宋体" w:eastAsia="仿宋_GB2312"/>
          <w:color w:val="000000" w:themeColor="text1"/>
          <w:sz w:val="28"/>
          <w:szCs w:val="28"/>
        </w:rPr>
        <w:t>。</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本规范由</w:t>
      </w:r>
      <w:r>
        <w:rPr>
          <w:rFonts w:hint="eastAsia" w:ascii="仿宋_GB2312" w:hAnsi="宋体" w:eastAsia="仿宋_GB2312"/>
          <w:iCs/>
          <w:color w:val="000000" w:themeColor="text1"/>
          <w:sz w:val="28"/>
          <w:szCs w:val="28"/>
        </w:rPr>
        <w:t>深圳市市场监督管理局质量处</w:t>
      </w:r>
      <w:r>
        <w:rPr>
          <w:rFonts w:hint="eastAsia" w:ascii="仿宋_GB2312" w:hAnsi="宋体" w:eastAsia="仿宋_GB2312"/>
          <w:color w:val="000000" w:themeColor="text1"/>
          <w:sz w:val="28"/>
          <w:szCs w:val="28"/>
        </w:rPr>
        <w:t>管理。</w:t>
      </w: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rPr>
          <w:color w:val="000000" w:themeColor="text1"/>
        </w:rPr>
      </w:pPr>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6671"/>
    <w:rsid w:val="00012A62"/>
    <w:rsid w:val="00045AEC"/>
    <w:rsid w:val="00081B9C"/>
    <w:rsid w:val="00087711"/>
    <w:rsid w:val="000C351E"/>
    <w:rsid w:val="000F227F"/>
    <w:rsid w:val="001209EA"/>
    <w:rsid w:val="001331CD"/>
    <w:rsid w:val="00156112"/>
    <w:rsid w:val="001A7241"/>
    <w:rsid w:val="001B1B68"/>
    <w:rsid w:val="00242108"/>
    <w:rsid w:val="002445BF"/>
    <w:rsid w:val="00245EBE"/>
    <w:rsid w:val="00266F51"/>
    <w:rsid w:val="00267E0A"/>
    <w:rsid w:val="00273055"/>
    <w:rsid w:val="0028178E"/>
    <w:rsid w:val="003110CC"/>
    <w:rsid w:val="00327A52"/>
    <w:rsid w:val="003575D8"/>
    <w:rsid w:val="003725E7"/>
    <w:rsid w:val="00393289"/>
    <w:rsid w:val="003E18C0"/>
    <w:rsid w:val="004144CB"/>
    <w:rsid w:val="00440B3B"/>
    <w:rsid w:val="00442803"/>
    <w:rsid w:val="00451A9C"/>
    <w:rsid w:val="00451F77"/>
    <w:rsid w:val="00455F50"/>
    <w:rsid w:val="00457393"/>
    <w:rsid w:val="004864E2"/>
    <w:rsid w:val="0049380F"/>
    <w:rsid w:val="00495C0F"/>
    <w:rsid w:val="004C1334"/>
    <w:rsid w:val="004E7D91"/>
    <w:rsid w:val="00544B94"/>
    <w:rsid w:val="00545A12"/>
    <w:rsid w:val="00550CE0"/>
    <w:rsid w:val="00562370"/>
    <w:rsid w:val="005B31B5"/>
    <w:rsid w:val="005D4455"/>
    <w:rsid w:val="005D54BD"/>
    <w:rsid w:val="0064613E"/>
    <w:rsid w:val="0064797C"/>
    <w:rsid w:val="006575FA"/>
    <w:rsid w:val="0066561D"/>
    <w:rsid w:val="00676815"/>
    <w:rsid w:val="00694207"/>
    <w:rsid w:val="006C3325"/>
    <w:rsid w:val="007431A1"/>
    <w:rsid w:val="00757BD9"/>
    <w:rsid w:val="0076203D"/>
    <w:rsid w:val="00776E2E"/>
    <w:rsid w:val="007C0F87"/>
    <w:rsid w:val="007D06A2"/>
    <w:rsid w:val="00842D30"/>
    <w:rsid w:val="00845C8F"/>
    <w:rsid w:val="00864A08"/>
    <w:rsid w:val="00866E1E"/>
    <w:rsid w:val="008721BD"/>
    <w:rsid w:val="0087352D"/>
    <w:rsid w:val="00873DA6"/>
    <w:rsid w:val="00886BC3"/>
    <w:rsid w:val="0089623D"/>
    <w:rsid w:val="008B7F1E"/>
    <w:rsid w:val="008E153A"/>
    <w:rsid w:val="008E4205"/>
    <w:rsid w:val="00904E14"/>
    <w:rsid w:val="00917DB8"/>
    <w:rsid w:val="009577C2"/>
    <w:rsid w:val="009C09F5"/>
    <w:rsid w:val="009F2DF2"/>
    <w:rsid w:val="00A04793"/>
    <w:rsid w:val="00A13092"/>
    <w:rsid w:val="00A17997"/>
    <w:rsid w:val="00A22C2C"/>
    <w:rsid w:val="00A679C5"/>
    <w:rsid w:val="00A767CD"/>
    <w:rsid w:val="00A93AEE"/>
    <w:rsid w:val="00AA2557"/>
    <w:rsid w:val="00AB00BE"/>
    <w:rsid w:val="00AC2428"/>
    <w:rsid w:val="00AD41D2"/>
    <w:rsid w:val="00AE6A3C"/>
    <w:rsid w:val="00AF26EE"/>
    <w:rsid w:val="00B45700"/>
    <w:rsid w:val="00B47E10"/>
    <w:rsid w:val="00B82839"/>
    <w:rsid w:val="00B96E12"/>
    <w:rsid w:val="00BA0657"/>
    <w:rsid w:val="00BE5675"/>
    <w:rsid w:val="00C16673"/>
    <w:rsid w:val="00C5760C"/>
    <w:rsid w:val="00C91CE2"/>
    <w:rsid w:val="00CE0EEE"/>
    <w:rsid w:val="00CF46C3"/>
    <w:rsid w:val="00CF4D8B"/>
    <w:rsid w:val="00D021E2"/>
    <w:rsid w:val="00D0449B"/>
    <w:rsid w:val="00D32A3E"/>
    <w:rsid w:val="00D33C32"/>
    <w:rsid w:val="00D43CD3"/>
    <w:rsid w:val="00D463FE"/>
    <w:rsid w:val="00D54DD1"/>
    <w:rsid w:val="00DC0FD1"/>
    <w:rsid w:val="00DC1E0B"/>
    <w:rsid w:val="00DC4635"/>
    <w:rsid w:val="00DD1CDC"/>
    <w:rsid w:val="00DD2244"/>
    <w:rsid w:val="00DE6471"/>
    <w:rsid w:val="00E111A4"/>
    <w:rsid w:val="00E766E9"/>
    <w:rsid w:val="00E807E1"/>
    <w:rsid w:val="00E84505"/>
    <w:rsid w:val="00EB0A44"/>
    <w:rsid w:val="00EB22D7"/>
    <w:rsid w:val="00EC377E"/>
    <w:rsid w:val="00EC7A6C"/>
    <w:rsid w:val="00F03FA6"/>
    <w:rsid w:val="00F2627D"/>
    <w:rsid w:val="00F336D3"/>
    <w:rsid w:val="00F35B1E"/>
    <w:rsid w:val="00F4112B"/>
    <w:rsid w:val="00F4546E"/>
    <w:rsid w:val="00F56B0F"/>
    <w:rsid w:val="00F662EB"/>
    <w:rsid w:val="00FE73FE"/>
    <w:rsid w:val="03041483"/>
    <w:rsid w:val="03500958"/>
    <w:rsid w:val="047720A3"/>
    <w:rsid w:val="102703F1"/>
    <w:rsid w:val="1CA95E13"/>
    <w:rsid w:val="321A768F"/>
    <w:rsid w:val="3A865306"/>
    <w:rsid w:val="4A853697"/>
    <w:rsid w:val="52E9325F"/>
    <w:rsid w:val="534A7F5B"/>
    <w:rsid w:val="56191E85"/>
    <w:rsid w:val="6E2D6A17"/>
    <w:rsid w:val="77186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240" w:lineRule="exact"/>
      <w:outlineLvl w:val="0"/>
    </w:pPr>
    <w:rPr>
      <w:rFonts w:ascii="宋体" w:hAnsi="宋体"/>
      <w:sz w:val="28"/>
      <w:szCs w:val="20"/>
    </w:rPr>
  </w:style>
  <w:style w:type="paragraph" w:styleId="3">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5"/>
    <w:unhideWhenUsed/>
    <w:qFormat/>
    <w:uiPriority w:val="99"/>
    <w:rPr>
      <w:rFonts w:asciiTheme="minorHAnsi" w:hAnsiTheme="minorHAnsi" w:eastAsiaTheme="minorEastAsia" w:cstheme="minorBidi"/>
      <w:b/>
      <w:bCs/>
      <w:szCs w:val="22"/>
    </w:rPr>
  </w:style>
  <w:style w:type="paragraph" w:styleId="5">
    <w:name w:val="annotation text"/>
    <w:basedOn w:val="1"/>
    <w:link w:val="30"/>
    <w:qFormat/>
    <w:uiPriority w:val="0"/>
    <w:pPr>
      <w:jc w:val="left"/>
    </w:pPr>
    <w:rPr>
      <w:rFonts w:ascii="Times New Roman" w:hAnsi="Times New Roman" w:eastAsia="宋体" w:cs="Times New Roman"/>
      <w:szCs w:val="24"/>
    </w:rPr>
  </w:style>
  <w:style w:type="paragraph" w:styleId="6">
    <w:name w:val="Body Text Indent"/>
    <w:basedOn w:val="1"/>
    <w:link w:val="24"/>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7">
    <w:name w:val="Plain Text"/>
    <w:basedOn w:val="1"/>
    <w:link w:val="27"/>
    <w:qFormat/>
    <w:uiPriority w:val="0"/>
    <w:rPr>
      <w:rFonts w:ascii="宋体" w:hAnsi="Courier New" w:eastAsia="宋体" w:cs="Times New Roman"/>
      <w:szCs w:val="21"/>
    </w:rPr>
  </w:style>
  <w:style w:type="paragraph" w:styleId="8">
    <w:name w:val="Date"/>
    <w:basedOn w:val="1"/>
    <w:next w:val="1"/>
    <w:link w:val="36"/>
    <w:unhideWhenUsed/>
    <w:qFormat/>
    <w:uiPriority w:val="99"/>
    <w:pPr>
      <w:ind w:left="100" w:leftChars="2500"/>
    </w:pPr>
  </w:style>
  <w:style w:type="paragraph" w:styleId="9">
    <w:name w:val="Body Text Indent 2"/>
    <w:basedOn w:val="1"/>
    <w:link w:val="28"/>
    <w:qFormat/>
    <w:uiPriority w:val="0"/>
    <w:pPr>
      <w:spacing w:after="120" w:line="480" w:lineRule="auto"/>
      <w:ind w:left="420" w:leftChars="200"/>
    </w:pPr>
    <w:rPr>
      <w:rFonts w:ascii="Times New Roman" w:hAnsi="Times New Roman" w:eastAsia="宋体" w:cs="Times New Roman"/>
      <w:szCs w:val="24"/>
    </w:rPr>
  </w:style>
  <w:style w:type="paragraph" w:styleId="10">
    <w:name w:val="Balloon Text"/>
    <w:basedOn w:val="1"/>
    <w:link w:val="25"/>
    <w:semiHidden/>
    <w:qFormat/>
    <w:uiPriority w:val="0"/>
    <w:rPr>
      <w:rFonts w:ascii="Times New Roman" w:hAnsi="Times New Roman" w:eastAsia="宋体" w:cs="Times New Roman"/>
      <w:sz w:val="18"/>
      <w:szCs w:val="18"/>
    </w:rPr>
  </w:style>
  <w:style w:type="paragraph" w:styleId="11">
    <w:name w:val="footer"/>
    <w:basedOn w:val="1"/>
    <w:link w:val="2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link w:val="22"/>
    <w:qFormat/>
    <w:uiPriority w:val="0"/>
    <w:pPr>
      <w:tabs>
        <w:tab w:val="center" w:pos="4153"/>
        <w:tab w:val="right" w:pos="8306"/>
      </w:tabs>
      <w:snapToGrid w:val="0"/>
      <w:jc w:val="center"/>
    </w:pPr>
    <w:rPr>
      <w:rFonts w:cs="Times New Roman" w:asciiTheme="majorEastAsia" w:hAnsiTheme="majorEastAsia" w:eastAsiaTheme="majorEastAsia"/>
      <w:b/>
      <w:szCs w:val="21"/>
    </w:rPr>
  </w:style>
  <w:style w:type="paragraph" w:styleId="13">
    <w:name w:val="Body Text Indent 3"/>
    <w:basedOn w:val="1"/>
    <w:link w:val="29"/>
    <w:qFormat/>
    <w:uiPriority w:val="0"/>
    <w:pPr>
      <w:spacing w:after="120"/>
      <w:ind w:left="420" w:leftChars="200"/>
    </w:pPr>
    <w:rPr>
      <w:rFonts w:ascii="Times New Roman" w:hAnsi="Times New Roman" w:eastAsia="宋体" w:cs="Times New Roman"/>
      <w:sz w:val="16"/>
      <w:szCs w:val="16"/>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qFormat/>
    <w:uiPriority w:val="0"/>
    <w:rPr>
      <w:b/>
      <w:bCs/>
    </w:rPr>
  </w:style>
  <w:style w:type="character" w:styleId="17">
    <w:name w:val="page number"/>
    <w:basedOn w:val="15"/>
    <w:qFormat/>
    <w:uiPriority w:val="0"/>
  </w:style>
  <w:style w:type="character" w:styleId="18">
    <w:name w:val="annotation reference"/>
    <w:basedOn w:val="15"/>
    <w:qFormat/>
    <w:uiPriority w:val="0"/>
    <w:rPr>
      <w:sz w:val="21"/>
      <w:szCs w:val="21"/>
    </w:rPr>
  </w:style>
  <w:style w:type="table" w:styleId="20">
    <w:name w:val="Table Grid"/>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脚 Char"/>
    <w:basedOn w:val="15"/>
    <w:link w:val="11"/>
    <w:qFormat/>
    <w:uiPriority w:val="0"/>
    <w:rPr>
      <w:rFonts w:ascii="Times New Roman" w:hAnsi="Times New Roman" w:eastAsia="宋体" w:cs="Times New Roman"/>
      <w:sz w:val="18"/>
      <w:szCs w:val="18"/>
    </w:rPr>
  </w:style>
  <w:style w:type="character" w:customStyle="1" w:styleId="22">
    <w:name w:val="页眉 Char"/>
    <w:basedOn w:val="15"/>
    <w:link w:val="12"/>
    <w:qFormat/>
    <w:uiPriority w:val="99"/>
    <w:rPr>
      <w:rFonts w:cs="Times New Roman" w:asciiTheme="majorEastAsia" w:hAnsiTheme="majorEastAsia" w:eastAsiaTheme="majorEastAsia"/>
      <w:b/>
      <w:szCs w:val="21"/>
    </w:rPr>
  </w:style>
  <w:style w:type="paragraph" w:customStyle="1" w:styleId="23">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4">
    <w:name w:val="正文文本缩进 Char"/>
    <w:basedOn w:val="15"/>
    <w:link w:val="6"/>
    <w:qFormat/>
    <w:uiPriority w:val="0"/>
    <w:rPr>
      <w:rFonts w:ascii="Times New Roman" w:hAnsi="Times New Roman" w:eastAsia="宋体" w:cs="Times New Roman"/>
      <w:kern w:val="0"/>
      <w:sz w:val="24"/>
      <w:szCs w:val="20"/>
    </w:rPr>
  </w:style>
  <w:style w:type="character" w:customStyle="1" w:styleId="25">
    <w:name w:val="批注框文本 Char"/>
    <w:basedOn w:val="15"/>
    <w:link w:val="10"/>
    <w:semiHidden/>
    <w:qFormat/>
    <w:uiPriority w:val="0"/>
    <w:rPr>
      <w:rFonts w:ascii="Times New Roman" w:hAnsi="Times New Roman" w:eastAsia="宋体" w:cs="Times New Roman"/>
      <w:sz w:val="18"/>
      <w:szCs w:val="18"/>
    </w:rPr>
  </w:style>
  <w:style w:type="paragraph" w:customStyle="1" w:styleId="26">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7">
    <w:name w:val="纯文本 Char"/>
    <w:basedOn w:val="15"/>
    <w:link w:val="7"/>
    <w:qFormat/>
    <w:uiPriority w:val="0"/>
    <w:rPr>
      <w:rFonts w:ascii="宋体" w:hAnsi="Courier New" w:eastAsia="宋体" w:cs="Times New Roman"/>
      <w:szCs w:val="21"/>
    </w:rPr>
  </w:style>
  <w:style w:type="character" w:customStyle="1" w:styleId="28">
    <w:name w:val="正文文本缩进 2 Char"/>
    <w:basedOn w:val="15"/>
    <w:link w:val="9"/>
    <w:qFormat/>
    <w:uiPriority w:val="0"/>
    <w:rPr>
      <w:rFonts w:ascii="Times New Roman" w:hAnsi="Times New Roman" w:eastAsia="宋体" w:cs="Times New Roman"/>
      <w:szCs w:val="24"/>
    </w:rPr>
  </w:style>
  <w:style w:type="character" w:customStyle="1" w:styleId="29">
    <w:name w:val="正文文本缩进 3 Char"/>
    <w:basedOn w:val="15"/>
    <w:link w:val="13"/>
    <w:qFormat/>
    <w:uiPriority w:val="0"/>
    <w:rPr>
      <w:rFonts w:ascii="Times New Roman" w:hAnsi="Times New Roman" w:eastAsia="宋体" w:cs="Times New Roman"/>
      <w:sz w:val="16"/>
      <w:szCs w:val="16"/>
    </w:rPr>
  </w:style>
  <w:style w:type="character" w:customStyle="1" w:styleId="30">
    <w:name w:val="批注文字 Char"/>
    <w:basedOn w:val="15"/>
    <w:link w:val="5"/>
    <w:qFormat/>
    <w:uiPriority w:val="0"/>
    <w:rPr>
      <w:rFonts w:ascii="Times New Roman" w:hAnsi="Times New Roman" w:eastAsia="宋体" w:cs="Times New Roman"/>
      <w:szCs w:val="24"/>
    </w:rPr>
  </w:style>
  <w:style w:type="paragraph" w:customStyle="1" w:styleId="31">
    <w:name w:val="表格"/>
    <w:basedOn w:val="1"/>
    <w:link w:val="32"/>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2">
    <w:name w:val="表格 Char"/>
    <w:link w:val="31"/>
    <w:qFormat/>
    <w:uiPriority w:val="0"/>
    <w:rPr>
      <w:rFonts w:ascii="仿宋_GB2312" w:hAnsi="Times New Roman" w:eastAsia="宋体" w:cs="Times New Roman"/>
      <w:color w:val="000000"/>
      <w:kern w:val="0"/>
      <w:szCs w:val="24"/>
    </w:rPr>
  </w:style>
  <w:style w:type="paragraph" w:customStyle="1" w:styleId="33">
    <w:name w:val="List Paragraph"/>
    <w:basedOn w:val="1"/>
    <w:qFormat/>
    <w:uiPriority w:val="34"/>
    <w:pPr>
      <w:ind w:firstLine="420" w:firstLineChars="200"/>
    </w:pPr>
    <w:rPr>
      <w:rFonts w:ascii="Times New Roman" w:hAnsi="Times New Roman" w:eastAsia="宋体" w:cs="Times New Roman"/>
      <w:szCs w:val="24"/>
    </w:rPr>
  </w:style>
  <w:style w:type="paragraph" w:customStyle="1" w:styleId="34">
    <w:name w:val="p0"/>
    <w:basedOn w:val="1"/>
    <w:qFormat/>
    <w:uiPriority w:val="0"/>
    <w:pPr>
      <w:widowControl/>
    </w:pPr>
    <w:rPr>
      <w:rFonts w:ascii="Times New Roman" w:hAnsi="Times New Roman" w:eastAsia="宋体" w:cs="Times New Roman"/>
      <w:kern w:val="0"/>
      <w:szCs w:val="21"/>
    </w:rPr>
  </w:style>
  <w:style w:type="character" w:customStyle="1" w:styleId="35">
    <w:name w:val="批注主题 Char"/>
    <w:basedOn w:val="30"/>
    <w:link w:val="4"/>
    <w:semiHidden/>
    <w:qFormat/>
    <w:uiPriority w:val="99"/>
    <w:rPr>
      <w:rFonts w:ascii="Times New Roman" w:hAnsi="Times New Roman" w:eastAsia="宋体" w:cs="Times New Roman"/>
      <w:b/>
      <w:bCs/>
      <w:szCs w:val="24"/>
    </w:rPr>
  </w:style>
  <w:style w:type="character" w:customStyle="1" w:styleId="36">
    <w:name w:val="日期 Char"/>
    <w:basedOn w:val="15"/>
    <w:link w:val="8"/>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1769C-70F3-4CA9-8BBF-82126D599EB0}">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23</Pages>
  <Words>2050</Words>
  <Characters>11687</Characters>
  <Lines>97</Lines>
  <Paragraphs>27</Paragraphs>
  <TotalTime>0</TotalTime>
  <ScaleCrop>false</ScaleCrop>
  <LinksUpToDate>false</LinksUpToDate>
  <CharactersWithSpaces>13710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2019-01-11T06:21:00Z</dcterms:created>
  <dc:creator>张嘉欢</dc:creator>
  <cp:lastModifiedBy>常孟园</cp:lastModifiedBy>
  <dcterms:modified xsi:type="dcterms:W3CDTF">2019-05-15T09:51:31Z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