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75" w:line="360" w:lineRule="auto"/>
        <w:jc w:val="center"/>
        <w:rPr>
          <w:rFonts w:ascii="黑体" w:hAnsi="黑体" w:eastAsia="黑体"/>
          <w:sz w:val="36"/>
          <w:szCs w:val="36"/>
        </w:rPr>
      </w:pPr>
      <w:r>
        <w:rPr>
          <w:rFonts w:hint="eastAsia" w:ascii="黑体" w:hAnsi="黑体" w:eastAsia="黑体"/>
          <w:sz w:val="36"/>
          <w:szCs w:val="36"/>
        </w:rPr>
        <w:t>深圳市市场监督管理局</w:t>
      </w:r>
    </w:p>
    <w:p>
      <w:pPr>
        <w:spacing w:beforeLines="75" w:line="360" w:lineRule="auto"/>
        <w:jc w:val="center"/>
        <w:rPr>
          <w:rFonts w:ascii="黑体" w:hAnsi="黑体" w:eastAsia="黑体"/>
          <w:sz w:val="36"/>
          <w:szCs w:val="36"/>
        </w:rPr>
      </w:pPr>
      <w:r>
        <w:rPr>
          <w:rFonts w:hint="eastAsia" w:ascii="黑体" w:hAnsi="黑体" w:eastAsia="黑体"/>
          <w:sz w:val="36"/>
          <w:szCs w:val="36"/>
        </w:rPr>
        <w:t>儿童地垫产品质量监督抽查实施规范</w:t>
      </w:r>
    </w:p>
    <w:p>
      <w:pPr>
        <w:spacing w:beforeLines="75" w:line="360" w:lineRule="auto"/>
        <w:jc w:val="center"/>
        <w:rPr>
          <w:rFonts w:ascii="黑体" w:hAnsi="黑体" w:eastAsia="黑体"/>
          <w:sz w:val="28"/>
        </w:rPr>
      </w:pPr>
      <w:r>
        <w:rPr>
          <w:rFonts w:hint="eastAsia" w:ascii="黑体" w:hAnsi="黑体" w:eastAsia="黑体"/>
          <w:sz w:val="28"/>
        </w:rPr>
        <w:t>编号</w:t>
      </w:r>
      <w:r>
        <w:rPr>
          <w:rFonts w:ascii="黑体" w:hAnsi="黑体" w:eastAsia="黑体"/>
          <w:sz w:val="28"/>
        </w:rPr>
        <w:t>：CCGF-SZ-</w:t>
      </w:r>
      <w:r>
        <w:rPr>
          <w:rFonts w:hint="eastAsia" w:ascii="黑体" w:hAnsi="黑体" w:eastAsia="黑体"/>
          <w:sz w:val="28"/>
        </w:rPr>
        <w:t>145</w:t>
      </w:r>
      <w:r>
        <w:rPr>
          <w:rFonts w:ascii="黑体" w:hAnsi="黑体" w:eastAsia="黑体"/>
          <w:sz w:val="28"/>
        </w:rPr>
        <w:t>-</w:t>
      </w:r>
      <w:r>
        <w:rPr>
          <w:rFonts w:hint="eastAsia" w:ascii="黑体" w:hAnsi="黑体" w:eastAsia="黑体"/>
          <w:sz w:val="28"/>
        </w:rPr>
        <w:t>2019</w:t>
      </w:r>
    </w:p>
    <w:p>
      <w:pPr>
        <w:snapToGrid w:val="0"/>
        <w:spacing w:line="360" w:lineRule="auto"/>
        <w:rPr>
          <w:rFonts w:ascii="宋体" w:hAnsi="宋体" w:eastAsia="宋体" w:cs="Times New Roman"/>
          <w:sz w:val="24"/>
        </w:rPr>
      </w:pPr>
    </w:p>
    <w:p>
      <w:pPr>
        <w:snapToGrid w:val="0"/>
        <w:spacing w:line="360" w:lineRule="auto"/>
        <w:rPr>
          <w:rFonts w:ascii="仿宋_GB2312" w:hAnsi="宋体" w:eastAsia="仿宋_GB2312" w:cs="Times New Roman"/>
          <w:b/>
          <w:szCs w:val="21"/>
        </w:rPr>
      </w:pP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1 适用范围</w:t>
      </w:r>
    </w:p>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本规范适用于深圳市生产及流通领域儿童地垫产品质量监督抽查。监督抽查产品范围适用于：儿童地垫产品。</w:t>
      </w:r>
    </w:p>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本规范内容包括适用范围、产品种类、术语和定义、检验依据、抽样、检验要求，判定原则及异议处理复检。</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2产品种类</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产品种类见表1。</w:t>
      </w:r>
    </w:p>
    <w:p>
      <w:pPr>
        <w:snapToGrid w:val="0"/>
        <w:jc w:val="center"/>
        <w:rPr>
          <w:rFonts w:ascii="黑体" w:hAnsi="黑体" w:eastAsia="黑体" w:cs="Times New Roman"/>
          <w:sz w:val="28"/>
          <w:szCs w:val="28"/>
        </w:rPr>
      </w:pPr>
      <w:r>
        <w:rPr>
          <w:rFonts w:hint="eastAsia" w:ascii="黑体" w:hAnsi="黑体" w:eastAsia="黑体" w:cs="Times New Roman"/>
          <w:sz w:val="28"/>
          <w:szCs w:val="28"/>
        </w:rPr>
        <w:t>表1  产品种类</w:t>
      </w:r>
    </w:p>
    <w:tbl>
      <w:tblPr>
        <w:tblStyle w:val="17"/>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5"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产品种类</w:t>
            </w:r>
          </w:p>
        </w:tc>
        <w:tc>
          <w:tcPr>
            <w:tcW w:w="6305"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vAlign w:val="center"/>
          </w:tcPr>
          <w:p>
            <w:pPr>
              <w:autoSpaceDE w:val="0"/>
              <w:autoSpaceDN w:val="0"/>
              <w:adjustRightInd w:val="0"/>
              <w:spacing w:line="300" w:lineRule="exact"/>
              <w:jc w:val="center"/>
              <w:rPr>
                <w:rFonts w:ascii="仿宋_GB2312" w:eastAsia="仿宋_GB2312" w:cs="宋体"/>
                <w:kern w:val="0"/>
                <w:sz w:val="24"/>
                <w:szCs w:val="24"/>
              </w:rPr>
            </w:pPr>
            <w:r>
              <w:rPr>
                <w:rFonts w:hint="eastAsia" w:ascii="仿宋_GB2312" w:eastAsia="仿宋_GB2312" w:cs="宋体"/>
                <w:kern w:val="0"/>
                <w:sz w:val="24"/>
                <w:szCs w:val="24"/>
              </w:rPr>
              <w:t>儿童地垫</w:t>
            </w:r>
          </w:p>
        </w:tc>
        <w:tc>
          <w:tcPr>
            <w:tcW w:w="6305" w:type="dxa"/>
            <w:vAlign w:val="center"/>
          </w:tcPr>
          <w:p>
            <w:pPr>
              <w:autoSpaceDE w:val="0"/>
              <w:autoSpaceDN w:val="0"/>
              <w:adjustRightInd w:val="0"/>
              <w:spacing w:line="300" w:lineRule="exact"/>
              <w:rPr>
                <w:rFonts w:ascii="仿宋_GB2312" w:eastAsia="仿宋_GB2312" w:cs="宋体"/>
                <w:kern w:val="0"/>
                <w:sz w:val="24"/>
                <w:szCs w:val="24"/>
              </w:rPr>
            </w:pPr>
            <w:r>
              <w:rPr>
                <w:rFonts w:hint="eastAsia" w:ascii="仿宋_GB2312" w:eastAsia="仿宋_GB2312" w:cs="宋体"/>
                <w:kern w:val="0"/>
                <w:sz w:val="24"/>
                <w:szCs w:val="24"/>
              </w:rPr>
              <w:t>“爬爬垫”、“爬行垫”、“游戏垫”等儿童垫类产品。</w:t>
            </w:r>
          </w:p>
        </w:tc>
      </w:tr>
    </w:tbl>
    <w:p>
      <w:pPr>
        <w:snapToGrid w:val="0"/>
        <w:spacing w:beforeLines="50"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3 术语和定义</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术语和定义见表2。</w:t>
      </w:r>
    </w:p>
    <w:p>
      <w:pPr>
        <w:snapToGrid w:val="0"/>
        <w:jc w:val="center"/>
        <w:rPr>
          <w:rFonts w:ascii="黑体" w:hAnsi="黑体" w:eastAsia="黑体" w:cs="Times New Roman"/>
          <w:sz w:val="28"/>
          <w:szCs w:val="28"/>
        </w:rPr>
      </w:pPr>
      <w:r>
        <w:rPr>
          <w:rFonts w:hint="eastAsia" w:ascii="黑体" w:hAnsi="黑体" w:eastAsia="黑体" w:cs="Times New Roman"/>
          <w:sz w:val="28"/>
          <w:szCs w:val="28"/>
        </w:rPr>
        <w:t>表2 术语和定义</w:t>
      </w:r>
    </w:p>
    <w:tbl>
      <w:tblPr>
        <w:tblStyle w:val="17"/>
        <w:tblW w:w="8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6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3"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产品种类</w:t>
            </w:r>
          </w:p>
        </w:tc>
        <w:tc>
          <w:tcPr>
            <w:tcW w:w="6447"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vAlign w:val="center"/>
          </w:tcPr>
          <w:p>
            <w:pPr>
              <w:pStyle w:val="12"/>
              <w:jc w:val="center"/>
              <w:rPr>
                <w:rFonts w:ascii="仿宋_GB2312" w:eastAsia="仿宋_GB2312"/>
                <w:color w:val="000000" w:themeColor="text1"/>
              </w:rPr>
            </w:pPr>
            <w:r>
              <w:rPr>
                <w:rFonts w:hint="eastAsia" w:ascii="仿宋_GB2312" w:eastAsia="仿宋_GB2312"/>
                <w:color w:val="000000" w:themeColor="text1"/>
              </w:rPr>
              <w:t>儿童地垫</w:t>
            </w:r>
          </w:p>
        </w:tc>
        <w:tc>
          <w:tcPr>
            <w:tcW w:w="6447" w:type="dxa"/>
            <w:vAlign w:val="center"/>
          </w:tcPr>
          <w:p>
            <w:pPr>
              <w:pStyle w:val="12"/>
              <w:rPr>
                <w:rFonts w:ascii="仿宋_GB2312" w:eastAsia="仿宋_GB2312"/>
                <w:color w:val="000000" w:themeColor="text1"/>
              </w:rPr>
            </w:pPr>
            <w:r>
              <w:rPr>
                <w:rFonts w:ascii="仿宋_GB2312" w:eastAsia="仿宋_GB2312"/>
                <w:color w:val="000000" w:themeColor="text1"/>
              </w:rPr>
              <w:t>主要材质为高分子聚合物，如 EVA（Ethylene-vinyl acetate copolymer，乙烯-醋酸乙烯共聚物）、 PE（Polyethylene，聚乙烯）、 PP（Polypropylene，聚丙烯）、 PVC（polyvinyl chloride，聚氯乙烯）、橡胶、PU（Polyurethane，聚氨酯）等，具有良好的防震、缓冲性能的可供 14 岁以下儿童在上面玩耍的地垫产品。</w:t>
            </w:r>
          </w:p>
        </w:tc>
      </w:tr>
    </w:tbl>
    <w:p>
      <w:pPr>
        <w:snapToGrid w:val="0"/>
        <w:spacing w:beforeLines="50"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4 检验依据</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检验依据见表3。</w:t>
      </w:r>
    </w:p>
    <w:p>
      <w:pPr>
        <w:snapToGrid w:val="0"/>
        <w:jc w:val="center"/>
        <w:rPr>
          <w:rFonts w:ascii="黑体" w:hAnsi="黑体" w:eastAsia="黑体" w:cs="Times New Roman"/>
          <w:sz w:val="28"/>
          <w:szCs w:val="28"/>
        </w:rPr>
      </w:pPr>
      <w:r>
        <w:rPr>
          <w:rFonts w:hint="eastAsia" w:ascii="黑体" w:hAnsi="黑体" w:eastAsia="黑体" w:cs="Times New Roman"/>
          <w:sz w:val="28"/>
          <w:szCs w:val="28"/>
        </w:rPr>
        <w:t>表3 检验依据</w:t>
      </w:r>
    </w:p>
    <w:tbl>
      <w:tblPr>
        <w:tblStyle w:val="17"/>
        <w:tblW w:w="9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4110"/>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193" w:type="dxa"/>
            <w:shd w:val="clear" w:color="auto" w:fill="auto"/>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标准号</w:t>
            </w:r>
          </w:p>
        </w:tc>
        <w:tc>
          <w:tcPr>
            <w:tcW w:w="4110" w:type="dxa"/>
            <w:shd w:val="clear" w:color="auto" w:fill="auto"/>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标准名称</w:t>
            </w:r>
          </w:p>
        </w:tc>
        <w:tc>
          <w:tcPr>
            <w:tcW w:w="2786" w:type="dxa"/>
            <w:shd w:val="clear" w:color="auto" w:fill="auto"/>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3" w:type="dxa"/>
            <w:shd w:val="clear" w:color="auto" w:fill="auto"/>
            <w:vAlign w:val="center"/>
          </w:tcPr>
          <w:p>
            <w:pPr>
              <w:pStyle w:val="12"/>
              <w:jc w:val="center"/>
              <w:rPr>
                <w:color w:val="000000" w:themeColor="text1"/>
              </w:rPr>
            </w:pPr>
            <w:r>
              <w:rPr>
                <w:rFonts w:ascii="仿宋_GB2312" w:eastAsia="仿宋_GB2312"/>
                <w:color w:val="000000" w:themeColor="text1"/>
              </w:rPr>
              <w:t>GB 6675.1-2014</w:t>
            </w:r>
          </w:p>
        </w:tc>
        <w:tc>
          <w:tcPr>
            <w:tcW w:w="4110" w:type="dxa"/>
            <w:shd w:val="clear" w:color="auto" w:fill="auto"/>
            <w:vAlign w:val="center"/>
          </w:tcPr>
          <w:p>
            <w:pPr>
              <w:pStyle w:val="12"/>
              <w:jc w:val="center"/>
              <w:rPr>
                <w:color w:val="000000" w:themeColor="text1"/>
              </w:rPr>
            </w:pPr>
            <w:r>
              <w:rPr>
                <w:rFonts w:ascii="仿宋_GB2312" w:eastAsia="仿宋_GB2312"/>
                <w:color w:val="000000" w:themeColor="text1"/>
              </w:rPr>
              <w:t>玩具安全 第1部分:基本规范</w:t>
            </w:r>
          </w:p>
        </w:tc>
        <w:tc>
          <w:tcPr>
            <w:tcW w:w="2786" w:type="dxa"/>
            <w:shd w:val="clear" w:color="auto" w:fill="auto"/>
            <w:vAlign w:val="center"/>
          </w:tcPr>
          <w:p>
            <w:pPr>
              <w:snapToGrid w:val="0"/>
              <w:jc w:val="center"/>
              <w:rPr>
                <w:rFonts w:ascii="宋体" w:hAnsi="Calibri" w:eastAsia="宋体" w:cs="Times New Roman"/>
                <w:color w:val="000000" w:themeColor="text1"/>
                <w:sz w:val="24"/>
                <w:szCs w:val="24"/>
              </w:rPr>
            </w:pPr>
            <w:r>
              <w:rPr>
                <w:rFonts w:hint="eastAsia" w:ascii="宋体" w:hAnsi="Calibri" w:eastAsia="宋体"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 xml:space="preserve">CMA  </w:t>
            </w:r>
            <w:r>
              <w:rPr>
                <w:rFonts w:hint="eastAsia" w:ascii="宋体" w:hAnsi="Calibri" w:eastAsia="宋体"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 xml:space="preserve">CAL </w:t>
            </w:r>
            <w:r>
              <w:rPr>
                <w:rFonts w:hint="eastAsia" w:ascii="宋体" w:hAnsi="Calibri" w:eastAsia="宋体"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3" w:type="dxa"/>
            <w:shd w:val="clear" w:color="auto" w:fill="auto"/>
            <w:vAlign w:val="center"/>
          </w:tcPr>
          <w:p>
            <w:pPr>
              <w:pStyle w:val="12"/>
              <w:jc w:val="center"/>
              <w:rPr>
                <w:rFonts w:ascii="仿宋_GB2312" w:eastAsia="仿宋_GB2312"/>
                <w:color w:val="000000" w:themeColor="text1"/>
              </w:rPr>
            </w:pPr>
            <w:r>
              <w:rPr>
                <w:rFonts w:ascii="仿宋_GB2312" w:eastAsia="仿宋_GB2312"/>
                <w:color w:val="000000" w:themeColor="text1"/>
              </w:rPr>
              <w:t>GB 6675.2-2014</w:t>
            </w:r>
          </w:p>
        </w:tc>
        <w:tc>
          <w:tcPr>
            <w:tcW w:w="4110" w:type="dxa"/>
            <w:shd w:val="clear" w:color="auto" w:fill="auto"/>
            <w:vAlign w:val="center"/>
          </w:tcPr>
          <w:p>
            <w:pPr>
              <w:pStyle w:val="12"/>
              <w:jc w:val="center"/>
              <w:rPr>
                <w:rFonts w:ascii="仿宋_GB2312" w:eastAsia="仿宋_GB2312"/>
                <w:color w:val="000000" w:themeColor="text1"/>
              </w:rPr>
            </w:pPr>
            <w:r>
              <w:rPr>
                <w:rFonts w:ascii="仿宋_GB2312" w:eastAsia="仿宋_GB2312"/>
                <w:color w:val="000000" w:themeColor="text1"/>
              </w:rPr>
              <w:t>玩具安全 第2部分:机械与物理性能</w:t>
            </w:r>
          </w:p>
        </w:tc>
        <w:tc>
          <w:tcPr>
            <w:tcW w:w="2786" w:type="dxa"/>
            <w:shd w:val="clear" w:color="auto" w:fill="auto"/>
            <w:vAlign w:val="center"/>
          </w:tcPr>
          <w:p>
            <w:pPr>
              <w:snapToGrid w:val="0"/>
              <w:jc w:val="center"/>
              <w:rPr>
                <w:rFonts w:ascii="宋体" w:hAnsi="Calibri" w:eastAsia="宋体" w:cs="Times New Roman"/>
                <w:color w:val="000000" w:themeColor="text1"/>
                <w:sz w:val="24"/>
                <w:szCs w:val="24"/>
              </w:rPr>
            </w:pPr>
            <w:r>
              <w:rPr>
                <w:rFonts w:hint="eastAsia" w:ascii="宋体" w:hAnsi="Calibri" w:eastAsia="宋体"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 xml:space="preserve">CMA  </w:t>
            </w:r>
            <w:r>
              <w:rPr>
                <w:rFonts w:hint="eastAsia" w:ascii="宋体" w:hAnsi="Calibri" w:eastAsia="宋体"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 xml:space="preserve">CAL </w:t>
            </w:r>
            <w:r>
              <w:rPr>
                <w:rFonts w:hint="eastAsia" w:ascii="宋体" w:hAnsi="Calibri" w:eastAsia="宋体"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3" w:type="dxa"/>
            <w:shd w:val="clear" w:color="auto" w:fill="auto"/>
            <w:vAlign w:val="center"/>
          </w:tcPr>
          <w:p>
            <w:pPr>
              <w:pStyle w:val="12"/>
              <w:jc w:val="center"/>
              <w:rPr>
                <w:rFonts w:ascii="仿宋_GB2312" w:eastAsia="仿宋_GB2312"/>
                <w:color w:val="000000" w:themeColor="text1"/>
              </w:rPr>
            </w:pPr>
            <w:r>
              <w:rPr>
                <w:rFonts w:ascii="仿宋_GB2312" w:eastAsia="仿宋_GB2312"/>
                <w:color w:val="000000" w:themeColor="text1"/>
              </w:rPr>
              <w:t>GB 6675.3-2014</w:t>
            </w:r>
          </w:p>
        </w:tc>
        <w:tc>
          <w:tcPr>
            <w:tcW w:w="4110" w:type="dxa"/>
            <w:shd w:val="clear" w:color="auto" w:fill="auto"/>
            <w:vAlign w:val="center"/>
          </w:tcPr>
          <w:p>
            <w:pPr>
              <w:pStyle w:val="12"/>
              <w:jc w:val="center"/>
              <w:rPr>
                <w:rFonts w:ascii="仿宋_GB2312" w:eastAsia="仿宋_GB2312"/>
                <w:color w:val="000000" w:themeColor="text1"/>
              </w:rPr>
            </w:pPr>
            <w:r>
              <w:rPr>
                <w:rFonts w:ascii="仿宋_GB2312" w:eastAsia="仿宋_GB2312"/>
                <w:color w:val="000000" w:themeColor="text1"/>
              </w:rPr>
              <w:t>玩具安全 第3部分:易燃性能</w:t>
            </w:r>
          </w:p>
        </w:tc>
        <w:tc>
          <w:tcPr>
            <w:tcW w:w="2786" w:type="dxa"/>
            <w:shd w:val="clear" w:color="auto" w:fill="auto"/>
            <w:vAlign w:val="center"/>
          </w:tcPr>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 xml:space="preserve">CMA  </w:t>
            </w:r>
            <w:r>
              <w:rPr>
                <w:rFonts w:hint="eastAsia" w:ascii="仿宋_GB2312" w:hAnsi="宋体"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 xml:space="preserve">CAL </w:t>
            </w:r>
            <w:r>
              <w:rPr>
                <w:rFonts w:hint="eastAsia" w:ascii="仿宋_GB2312" w:hAnsi="宋体"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3" w:type="dxa"/>
            <w:shd w:val="clear" w:color="auto" w:fill="auto"/>
            <w:vAlign w:val="center"/>
          </w:tcPr>
          <w:p>
            <w:pPr>
              <w:pStyle w:val="12"/>
              <w:jc w:val="center"/>
              <w:rPr>
                <w:rFonts w:ascii="仿宋_GB2312" w:eastAsia="仿宋_GB2312"/>
                <w:color w:val="000000" w:themeColor="text1"/>
              </w:rPr>
            </w:pPr>
            <w:r>
              <w:rPr>
                <w:rFonts w:ascii="仿宋_GB2312" w:eastAsia="仿宋_GB2312"/>
                <w:color w:val="000000" w:themeColor="text1"/>
              </w:rPr>
              <w:t>GB 6675.4-2014</w:t>
            </w:r>
          </w:p>
        </w:tc>
        <w:tc>
          <w:tcPr>
            <w:tcW w:w="4110" w:type="dxa"/>
            <w:shd w:val="clear" w:color="auto" w:fill="auto"/>
            <w:vAlign w:val="center"/>
          </w:tcPr>
          <w:p>
            <w:pPr>
              <w:pStyle w:val="12"/>
              <w:jc w:val="center"/>
              <w:rPr>
                <w:color w:val="000000" w:themeColor="text1"/>
              </w:rPr>
            </w:pPr>
            <w:r>
              <w:rPr>
                <w:rFonts w:ascii="仿宋_GB2312" w:eastAsia="仿宋_GB2312"/>
                <w:color w:val="000000" w:themeColor="text1"/>
              </w:rPr>
              <w:t>玩具安全 第4部分:特定元素的迁移</w:t>
            </w:r>
          </w:p>
        </w:tc>
        <w:tc>
          <w:tcPr>
            <w:tcW w:w="2786" w:type="dxa"/>
            <w:shd w:val="clear" w:color="auto" w:fill="auto"/>
            <w:vAlign w:val="center"/>
          </w:tcPr>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 xml:space="preserve">CMA  </w:t>
            </w:r>
            <w:r>
              <w:rPr>
                <w:rFonts w:hint="eastAsia" w:ascii="仿宋_GB2312" w:hAnsi="宋体"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 xml:space="preserve">CAL </w:t>
            </w:r>
            <w:r>
              <w:rPr>
                <w:rFonts w:hint="eastAsia" w:ascii="仿宋_GB2312" w:hAnsi="宋体"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3" w:type="dxa"/>
            <w:shd w:val="clear" w:color="auto" w:fill="auto"/>
            <w:vAlign w:val="center"/>
          </w:tcPr>
          <w:p>
            <w:pPr>
              <w:pStyle w:val="12"/>
              <w:jc w:val="center"/>
              <w:rPr>
                <w:color w:val="000000" w:themeColor="text1"/>
              </w:rPr>
            </w:pPr>
            <w:r>
              <w:rPr>
                <w:rFonts w:ascii="仿宋_GB2312" w:eastAsia="仿宋_GB2312"/>
                <w:color w:val="000000" w:themeColor="text1"/>
              </w:rPr>
              <w:t>GB/T 22048-2015</w:t>
            </w:r>
          </w:p>
        </w:tc>
        <w:tc>
          <w:tcPr>
            <w:tcW w:w="4110" w:type="dxa"/>
            <w:shd w:val="clear" w:color="auto" w:fill="auto"/>
            <w:vAlign w:val="center"/>
          </w:tcPr>
          <w:p>
            <w:pPr>
              <w:pStyle w:val="12"/>
              <w:jc w:val="center"/>
              <w:rPr>
                <w:rFonts w:ascii="仿宋_GB2312" w:eastAsia="仿宋_GB2312"/>
                <w:color w:val="000000" w:themeColor="text1"/>
              </w:rPr>
            </w:pPr>
            <w:r>
              <w:rPr>
                <w:rFonts w:ascii="仿宋_GB2312" w:eastAsia="仿宋_GB2312"/>
                <w:color w:val="000000" w:themeColor="text1"/>
              </w:rPr>
              <w:t>玩具及儿童用品中特定邻苯二甲酸酯增塑剂的测定</w:t>
            </w:r>
          </w:p>
        </w:tc>
        <w:tc>
          <w:tcPr>
            <w:tcW w:w="2786" w:type="dxa"/>
            <w:shd w:val="clear" w:color="auto" w:fill="auto"/>
            <w:vAlign w:val="center"/>
          </w:tcPr>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 xml:space="preserve">CMA  </w:t>
            </w:r>
            <w:r>
              <w:rPr>
                <w:rFonts w:hint="eastAsia" w:ascii="仿宋_GB2312" w:hAnsi="宋体"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 xml:space="preserve">CAL </w:t>
            </w:r>
            <w:r>
              <w:rPr>
                <w:rFonts w:hint="eastAsia" w:ascii="仿宋_GB2312" w:hAnsi="宋体"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3" w:type="dxa"/>
            <w:shd w:val="clear" w:color="auto" w:fill="auto"/>
            <w:vAlign w:val="center"/>
          </w:tcPr>
          <w:p>
            <w:pPr>
              <w:pStyle w:val="12"/>
              <w:jc w:val="center"/>
              <w:rPr>
                <w:color w:val="000000" w:themeColor="text1"/>
              </w:rPr>
            </w:pPr>
            <w:r>
              <w:rPr>
                <w:rFonts w:ascii="仿宋_GB2312" w:eastAsia="仿宋_GB2312"/>
                <w:color w:val="000000" w:themeColor="text1"/>
              </w:rPr>
              <w:t>GB/T 28022-2011</w:t>
            </w:r>
          </w:p>
        </w:tc>
        <w:tc>
          <w:tcPr>
            <w:tcW w:w="4110" w:type="dxa"/>
            <w:shd w:val="clear" w:color="auto" w:fill="auto"/>
            <w:vAlign w:val="center"/>
          </w:tcPr>
          <w:p>
            <w:pPr>
              <w:pStyle w:val="12"/>
              <w:jc w:val="center"/>
              <w:rPr>
                <w:color w:val="000000" w:themeColor="text1"/>
              </w:rPr>
            </w:pPr>
            <w:r>
              <w:rPr>
                <w:rFonts w:ascii="仿宋_GB2312" w:eastAsia="仿宋_GB2312"/>
                <w:color w:val="000000" w:themeColor="text1"/>
              </w:rPr>
              <w:t>玩具适用年龄判定指南</w:t>
            </w:r>
          </w:p>
        </w:tc>
        <w:tc>
          <w:tcPr>
            <w:tcW w:w="2786" w:type="dxa"/>
            <w:shd w:val="clear" w:color="auto" w:fill="auto"/>
            <w:vAlign w:val="center"/>
          </w:tcPr>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 xml:space="preserve">CMA  </w:t>
            </w:r>
            <w:r>
              <w:rPr>
                <w:rFonts w:hint="eastAsia" w:ascii="仿宋_GB2312" w:hAnsi="宋体"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 xml:space="preserve">CAL </w:t>
            </w:r>
            <w:r>
              <w:rPr>
                <w:rFonts w:hint="eastAsia" w:ascii="仿宋_GB2312" w:hAnsi="宋体"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3" w:type="dxa"/>
            <w:shd w:val="clear" w:color="auto" w:fill="auto"/>
            <w:vAlign w:val="center"/>
          </w:tcPr>
          <w:p>
            <w:pPr>
              <w:pStyle w:val="12"/>
              <w:jc w:val="center"/>
              <w:rPr>
                <w:rFonts w:ascii="仿宋_GB2312" w:eastAsia="仿宋_GB2312"/>
                <w:color w:val="000000" w:themeColor="text1"/>
              </w:rPr>
            </w:pPr>
            <w:r>
              <w:rPr>
                <w:rFonts w:ascii="仿宋_GB2312" w:eastAsia="仿宋_GB2312"/>
              </w:rPr>
              <w:t>GB/T 34436</w:t>
            </w:r>
            <w:r>
              <w:rPr>
                <w:rFonts w:hint="eastAsia" w:ascii="仿宋_GB2312" w:eastAsia="仿宋_GB2312"/>
              </w:rPr>
              <w:t>-2017</w:t>
            </w:r>
          </w:p>
        </w:tc>
        <w:tc>
          <w:tcPr>
            <w:tcW w:w="4110" w:type="dxa"/>
            <w:shd w:val="clear" w:color="auto" w:fill="auto"/>
            <w:vAlign w:val="center"/>
          </w:tcPr>
          <w:p>
            <w:pPr>
              <w:pStyle w:val="12"/>
              <w:jc w:val="center"/>
              <w:rPr>
                <w:rFonts w:ascii="仿宋_GB2312" w:eastAsia="仿宋_GB2312"/>
                <w:color w:val="000000" w:themeColor="text1"/>
              </w:rPr>
            </w:pPr>
            <w:r>
              <w:rPr>
                <w:rFonts w:ascii="仿宋_GB2312" w:eastAsia="仿宋_GB2312"/>
                <w:color w:val="000000" w:themeColor="text1"/>
              </w:rPr>
              <w:t>玩具材料中甲酰胺测定 气相色谱-质谱联用法</w:t>
            </w:r>
          </w:p>
        </w:tc>
        <w:tc>
          <w:tcPr>
            <w:tcW w:w="2786" w:type="dxa"/>
            <w:shd w:val="clear" w:color="auto" w:fill="auto"/>
            <w:vAlign w:val="center"/>
          </w:tcPr>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 xml:space="preserve">CMA  </w:t>
            </w:r>
            <w:r>
              <w:rPr>
                <w:rFonts w:hint="eastAsia" w:ascii="仿宋_GB2312" w:hAnsi="宋体"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 xml:space="preserve">CAL </w:t>
            </w:r>
            <w:r>
              <w:rPr>
                <w:rFonts w:hint="eastAsia" w:ascii="仿宋_GB2312" w:hAnsi="宋体"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3" w:type="dxa"/>
            <w:shd w:val="clear" w:color="auto" w:fill="auto"/>
            <w:vAlign w:val="center"/>
          </w:tcPr>
          <w:p>
            <w:pPr>
              <w:pStyle w:val="12"/>
              <w:jc w:val="center"/>
              <w:rPr>
                <w:rFonts w:ascii="仿宋_GB2312" w:eastAsia="仿宋_GB2312"/>
              </w:rPr>
            </w:pPr>
            <w:r>
              <w:rPr>
                <w:rFonts w:ascii="仿宋_GB2312" w:eastAsia="仿宋_GB2312"/>
              </w:rPr>
              <w:t>SZJG 55-2018</w:t>
            </w:r>
          </w:p>
        </w:tc>
        <w:tc>
          <w:tcPr>
            <w:tcW w:w="4110" w:type="dxa"/>
            <w:shd w:val="clear" w:color="auto" w:fill="auto"/>
            <w:vAlign w:val="center"/>
          </w:tcPr>
          <w:p>
            <w:pPr>
              <w:pStyle w:val="12"/>
              <w:jc w:val="center"/>
              <w:rPr>
                <w:rFonts w:ascii="仿宋_GB2312" w:eastAsia="仿宋_GB2312"/>
                <w:color w:val="000000" w:themeColor="text1"/>
              </w:rPr>
            </w:pPr>
            <w:r>
              <w:rPr>
                <w:rFonts w:hint="eastAsia" w:ascii="仿宋_GB2312" w:eastAsia="仿宋_GB2312"/>
                <w:color w:val="000000" w:themeColor="text1"/>
              </w:rPr>
              <w:t>深圳经济特区技术规范《儿童塑胶地垫化学安全技术要求》</w:t>
            </w:r>
          </w:p>
        </w:tc>
        <w:tc>
          <w:tcPr>
            <w:tcW w:w="2786" w:type="dxa"/>
            <w:shd w:val="clear" w:color="auto" w:fill="auto"/>
            <w:vAlign w:val="center"/>
          </w:tcPr>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 xml:space="preserve">CMA  </w:t>
            </w:r>
            <w:r>
              <w:rPr>
                <w:rFonts w:hint="eastAsia" w:ascii="仿宋_GB2312" w:hAnsi="宋体"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 xml:space="preserve">CAL </w:t>
            </w:r>
            <w:r>
              <w:rPr>
                <w:rFonts w:hint="eastAsia" w:ascii="仿宋_GB2312" w:hAnsi="宋体"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CNAS</w:t>
            </w:r>
          </w:p>
        </w:tc>
      </w:tr>
    </w:tbl>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相关的产品强制性标准、行业标准、政府法规及产品的明示标准（包括备案的企业标准）和明示担保内容。</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 抽样</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5.1 抽样型号或规格</w:t>
      </w:r>
    </w:p>
    <w:p>
      <w:pPr>
        <w:snapToGrid w:val="0"/>
        <w:spacing w:line="360" w:lineRule="auto"/>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抽取样品须为同一型号规格，同一批次的产品。</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5.2 抽样方法</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在生产企业的成品库内、生产线末端成品堆放区随机抽取经企业检验合格或以任何方式表明已检验合格的并在国内销售的成品。在生产企业抽样原则上由企业按规定无偿提供样品。</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在市场上随机抽取经企业检验合格或以任何方式表明已检验合格的并在国内销售的成品。在经销企业抽样原则上以向商家购样为主。</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网络交易平台抽检，若网络交易平台是在深圳市登记注册的，可对该平台的自营商品进行抽检。若网络交易平台不在深圳市登记注册的，仅可对其平台上在深圳市依法登记的经营者销售的商品进行抽检。在网络平台抽样检验样品及备用样品原则上均以向商家购样为主。</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5.3 抽样基数</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在生产企业和市场上抽样时，抽样基数应不少于抽取样品量。</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5.4 抽样数量</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生产领域：随机抽取同一规格型号的</w:t>
      </w:r>
      <w:bookmarkStart w:id="0" w:name="OLE_LINK51"/>
      <w:r>
        <w:rPr>
          <w:rFonts w:hint="eastAsia" w:ascii="仿宋_GB2312" w:hAnsi="宋体" w:eastAsia="仿宋_GB2312" w:cs="Times New Roman"/>
          <w:sz w:val="28"/>
          <w:szCs w:val="28"/>
        </w:rPr>
        <w:t>3件样品，2件作为检验样品带回承检机构，</w:t>
      </w:r>
      <w:bookmarkEnd w:id="0"/>
      <w:r>
        <w:rPr>
          <w:rFonts w:hint="eastAsia" w:ascii="仿宋_GB2312" w:hAnsi="宋体" w:eastAsia="仿宋_GB2312" w:cs="Times New Roman"/>
          <w:sz w:val="28"/>
          <w:szCs w:val="28"/>
        </w:rPr>
        <w:t>1件作为备用样品封存于承检机构；</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流通领域（实体店）：随机抽取同一规格型号的3件样品，2件作为检验样品带回承检机构，1件作为备用样品封存于受检单位。</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流通领域（网络交易平台）：随机抽取同一规格型号的3件样品，2件作为检验样品带回承检机构，1件作为备用样品封存于承检机构。</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5.5 样品处置</w:t>
      </w:r>
    </w:p>
    <w:p>
      <w:pPr>
        <w:spacing w:line="360" w:lineRule="auto"/>
        <w:rPr>
          <w:rFonts w:ascii="仿宋_GB2312" w:hAnsi="宋体" w:eastAsia="仿宋_GB2312" w:cs="Times New Roman"/>
          <w:sz w:val="28"/>
          <w:szCs w:val="28"/>
        </w:rPr>
      </w:pPr>
      <w:r>
        <w:rPr>
          <w:rFonts w:hint="eastAsia" w:ascii="仿宋_GB2312" w:hAnsi="ˎ̥" w:eastAsia="仿宋_GB2312" w:cs="Times New Roman"/>
          <w:b/>
          <w:sz w:val="28"/>
          <w:szCs w:val="28"/>
        </w:rPr>
        <w:t>5.5.1</w:t>
      </w:r>
      <w:r>
        <w:rPr>
          <w:rFonts w:hint="eastAsia" w:ascii="仿宋_GB2312" w:hAnsi="宋体" w:eastAsia="仿宋_GB2312" w:cs="Times New Roman"/>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360" w:lineRule="auto"/>
        <w:rPr>
          <w:rFonts w:ascii="仿宋_GB2312" w:hAnsi="Calibri" w:eastAsia="仿宋_GB2312" w:cs="Times New Roman"/>
          <w:sz w:val="28"/>
          <w:szCs w:val="28"/>
        </w:rPr>
      </w:pPr>
      <w:r>
        <w:rPr>
          <w:rFonts w:hint="eastAsia" w:ascii="仿宋_GB2312" w:hAnsi="宋体" w:eastAsia="仿宋_GB2312" w:cs="Times New Roman"/>
          <w:b/>
          <w:sz w:val="28"/>
          <w:szCs w:val="28"/>
        </w:rPr>
        <w:t>5.5.2</w:t>
      </w:r>
      <w:r>
        <w:rPr>
          <w:rFonts w:hint="eastAsia" w:ascii="仿宋_GB2312" w:hAnsi="Calibri" w:eastAsia="仿宋_GB2312" w:cs="Times New Roman"/>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spacing w:line="360" w:lineRule="auto"/>
        <w:rPr>
          <w:rFonts w:ascii="仿宋_GB2312" w:hAnsi="Calibri" w:eastAsia="仿宋_GB2312" w:cs="Times New Roman"/>
          <w:sz w:val="28"/>
          <w:szCs w:val="28"/>
        </w:rPr>
      </w:pPr>
      <w:r>
        <w:rPr>
          <w:rFonts w:hint="eastAsia" w:ascii="仿宋_GB2312" w:hAnsi="宋体" w:eastAsia="仿宋_GB2312" w:cs="Times New Roman"/>
          <w:b/>
          <w:sz w:val="28"/>
          <w:szCs w:val="28"/>
        </w:rPr>
        <w:t>5.5.3</w:t>
      </w:r>
      <w:r>
        <w:rPr>
          <w:rFonts w:hint="eastAsia" w:ascii="仿宋_GB2312" w:hAnsi="Calibri" w:eastAsia="仿宋_GB2312" w:cs="Times New Roman"/>
          <w:sz w:val="28"/>
          <w:szCs w:val="28"/>
        </w:rPr>
        <w:t>抽取儿童地垫产品时，需要抽取附件的产品附件包括说明书、保修卡等。</w:t>
      </w:r>
    </w:p>
    <w:p>
      <w:pPr>
        <w:autoSpaceDE w:val="0"/>
        <w:autoSpaceDN w:val="0"/>
        <w:adjustRightIn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5.6 抽样单</w:t>
      </w:r>
    </w:p>
    <w:p>
      <w:pPr>
        <w:snapToGrid w:val="0"/>
        <w:spacing w:line="360" w:lineRule="auto"/>
        <w:ind w:firstLine="537" w:firstLineChars="192"/>
        <w:rPr>
          <w:rFonts w:ascii="仿宋_GB2312" w:hAnsi="Calibri" w:eastAsia="仿宋_GB2312" w:cs="Sim Sun"/>
          <w:kern w:val="0"/>
          <w:sz w:val="28"/>
          <w:szCs w:val="28"/>
        </w:rPr>
      </w:pPr>
      <w:r>
        <w:rPr>
          <w:rFonts w:hint="eastAsia" w:ascii="仿宋_GB2312" w:hAnsi="宋体" w:eastAsia="仿宋_GB2312" w:cs="Times New Roman"/>
          <w:sz w:val="28"/>
          <w:szCs w:val="28"/>
        </w:rPr>
        <w:t>应按有关规定填写抽样单，并记录被抽查产品及企业相关信息。</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6 检验要求</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6.1 检验项目</w:t>
      </w:r>
    </w:p>
    <w:tbl>
      <w:tblPr>
        <w:tblStyle w:val="17"/>
        <w:tblW w:w="97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268"/>
        <w:gridCol w:w="2692"/>
        <w:gridCol w:w="990"/>
        <w:gridCol w:w="241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571" w:type="dxa"/>
            <w:vAlign w:val="center"/>
          </w:tcPr>
          <w:p>
            <w:pPr>
              <w:pStyle w:val="5"/>
              <w:snapToGrid w:val="0"/>
              <w:spacing w:line="240" w:lineRule="exact"/>
              <w:jc w:val="center"/>
              <w:rPr>
                <w:rFonts w:ascii="黑体" w:hAnsi="黑体" w:eastAsia="黑体"/>
                <w:sz w:val="24"/>
              </w:rPr>
            </w:pPr>
            <w:r>
              <w:rPr>
                <w:rFonts w:hint="eastAsia" w:ascii="黑体" w:hAnsi="黑体" w:eastAsia="黑体"/>
                <w:sz w:val="24"/>
              </w:rPr>
              <w:t>序号</w:t>
            </w:r>
          </w:p>
        </w:tc>
        <w:tc>
          <w:tcPr>
            <w:tcW w:w="2268" w:type="dxa"/>
            <w:vAlign w:val="center"/>
          </w:tcPr>
          <w:p>
            <w:pPr>
              <w:pStyle w:val="5"/>
              <w:snapToGrid w:val="0"/>
              <w:spacing w:line="240" w:lineRule="exact"/>
              <w:jc w:val="center"/>
              <w:rPr>
                <w:rFonts w:ascii="黑体" w:hAnsi="黑体" w:eastAsia="黑体"/>
                <w:sz w:val="24"/>
              </w:rPr>
            </w:pPr>
            <w:r>
              <w:rPr>
                <w:rFonts w:hint="eastAsia" w:ascii="黑体" w:hAnsi="黑体" w:eastAsia="黑体"/>
                <w:sz w:val="24"/>
              </w:rPr>
              <w:t>检验项目</w:t>
            </w:r>
          </w:p>
        </w:tc>
        <w:tc>
          <w:tcPr>
            <w:tcW w:w="2692" w:type="dxa"/>
            <w:vAlign w:val="center"/>
          </w:tcPr>
          <w:p>
            <w:pPr>
              <w:snapToGrid w:val="0"/>
              <w:spacing w:line="280" w:lineRule="exact"/>
              <w:jc w:val="center"/>
              <w:rPr>
                <w:rFonts w:ascii="黑体" w:hAnsi="黑体" w:eastAsia="黑体" w:cs="Times New Roman"/>
                <w:sz w:val="24"/>
                <w:szCs w:val="21"/>
              </w:rPr>
            </w:pPr>
            <w:r>
              <w:rPr>
                <w:rFonts w:hint="eastAsia" w:ascii="黑体" w:hAnsi="黑体" w:eastAsia="黑体" w:cs="Times New Roman"/>
                <w:sz w:val="24"/>
                <w:szCs w:val="21"/>
              </w:rPr>
              <w:t>检测依据</w:t>
            </w:r>
          </w:p>
        </w:tc>
        <w:tc>
          <w:tcPr>
            <w:tcW w:w="990" w:type="dxa"/>
            <w:vAlign w:val="center"/>
          </w:tcPr>
          <w:p>
            <w:pPr>
              <w:pStyle w:val="5"/>
              <w:snapToGrid w:val="0"/>
              <w:spacing w:line="240" w:lineRule="exact"/>
              <w:jc w:val="center"/>
              <w:rPr>
                <w:rFonts w:ascii="黑体" w:hAnsi="黑体" w:eastAsia="黑体"/>
                <w:sz w:val="24"/>
              </w:rPr>
            </w:pPr>
            <w:r>
              <w:rPr>
                <w:rFonts w:hint="eastAsia" w:ascii="黑体" w:hAnsi="黑体" w:eastAsia="黑体"/>
                <w:sz w:val="24"/>
              </w:rPr>
              <w:t>项目性质</w:t>
            </w:r>
          </w:p>
        </w:tc>
        <w:tc>
          <w:tcPr>
            <w:tcW w:w="2411" w:type="dxa"/>
            <w:vAlign w:val="center"/>
          </w:tcPr>
          <w:p>
            <w:pPr>
              <w:snapToGrid w:val="0"/>
              <w:spacing w:line="280" w:lineRule="exact"/>
              <w:jc w:val="center"/>
              <w:rPr>
                <w:rFonts w:ascii="黑体" w:hAnsi="黑体" w:eastAsia="黑体" w:cs="Times New Roman"/>
                <w:sz w:val="24"/>
                <w:szCs w:val="21"/>
              </w:rPr>
            </w:pPr>
            <w:r>
              <w:rPr>
                <w:rFonts w:hint="eastAsia" w:ascii="黑体" w:hAnsi="黑体" w:eastAsia="黑体" w:cs="Times New Roman"/>
                <w:sz w:val="24"/>
                <w:szCs w:val="21"/>
              </w:rPr>
              <w:t>检测</w:t>
            </w:r>
            <w:r>
              <w:rPr>
                <w:rFonts w:hint="eastAsia" w:ascii="黑体" w:hAnsi="黑体" w:eastAsia="黑体" w:cs="Times New Roman"/>
                <w:sz w:val="24"/>
              </w:rPr>
              <w:t>方法</w:t>
            </w:r>
          </w:p>
        </w:tc>
        <w:tc>
          <w:tcPr>
            <w:tcW w:w="851" w:type="dxa"/>
            <w:vAlign w:val="center"/>
          </w:tcPr>
          <w:p>
            <w:pPr>
              <w:snapToGrid w:val="0"/>
              <w:spacing w:line="280" w:lineRule="exact"/>
              <w:jc w:val="center"/>
              <w:rPr>
                <w:rFonts w:ascii="黑体" w:hAnsi="黑体" w:eastAsia="黑体" w:cs="Times New Roman"/>
                <w:sz w:val="24"/>
                <w:szCs w:val="21"/>
              </w:rPr>
            </w:pPr>
            <w:r>
              <w:rPr>
                <w:rFonts w:hint="eastAsia" w:ascii="黑体" w:hAnsi="黑体" w:eastAsia="黑体" w:cs="Times New Roman"/>
                <w:sz w:val="24"/>
                <w:szCs w:val="21"/>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71" w:type="dxa"/>
            <w:vMerge w:val="restart"/>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p>
        </w:tc>
        <w:tc>
          <w:tcPr>
            <w:tcW w:w="2268" w:type="dxa"/>
            <w:vAlign w:val="center"/>
          </w:tcPr>
          <w:p>
            <w:pPr>
              <w:pStyle w:val="12"/>
              <w:jc w:val="center"/>
              <w:rPr>
                <w:vertAlign w:val="superscript"/>
              </w:rPr>
            </w:pPr>
            <w:r>
              <w:rPr>
                <w:rFonts w:ascii="仿宋_GB2312" w:eastAsia="仿宋_GB2312"/>
                <w:color w:val="000000"/>
              </w:rPr>
              <w:t>机械与物理性能（正常使用）</w:t>
            </w:r>
            <w:r>
              <w:rPr>
                <w:rFonts w:hint="eastAsia" w:ascii="仿宋_GB2312" w:hAnsi="Times New Roman" w:eastAsia="仿宋_GB2312" w:cs="Times New Roman"/>
                <w:color w:val="000000" w:themeColor="text1"/>
                <w:vertAlign w:val="superscript"/>
              </w:rPr>
              <w:t>1</w:t>
            </w:r>
          </w:p>
        </w:tc>
        <w:tc>
          <w:tcPr>
            <w:tcW w:w="2692" w:type="dxa"/>
            <w:vMerge w:val="restart"/>
            <w:vAlign w:val="center"/>
          </w:tcPr>
          <w:p>
            <w:pPr>
              <w:pStyle w:val="12"/>
              <w:snapToGrid w:val="0"/>
              <w:spacing w:before="0" w:beforeAutospacing="0" w:after="0" w:afterAutospacing="0"/>
              <w:jc w:val="center"/>
            </w:pPr>
            <w:r>
              <w:rPr>
                <w:rFonts w:ascii="仿宋_GB2312" w:eastAsia="仿宋_GB2312"/>
                <w:color w:val="000000"/>
              </w:rPr>
              <w:t>GB 6675.1-2014</w:t>
            </w:r>
            <w:r>
              <w:rPr>
                <w:rFonts w:hint="eastAsia" w:ascii="仿宋_GB2312" w:eastAsia="仿宋_GB2312"/>
                <w:color w:val="000000"/>
              </w:rPr>
              <w:t xml:space="preserve"> </w:t>
            </w:r>
            <w:r>
              <w:rPr>
                <w:rFonts w:ascii="仿宋_GB2312" w:eastAsia="仿宋_GB2312"/>
                <w:color w:val="000000"/>
              </w:rPr>
              <w:t>5.1</w:t>
            </w:r>
            <w:r>
              <w:rPr>
                <w:rFonts w:hint="eastAsia" w:ascii="仿宋_GB2312" w:eastAsia="仿宋_GB2312"/>
                <w:color w:val="000000"/>
              </w:rPr>
              <w:t>、</w:t>
            </w:r>
          </w:p>
          <w:p>
            <w:pPr>
              <w:pStyle w:val="12"/>
              <w:snapToGrid w:val="0"/>
              <w:spacing w:before="0" w:beforeAutospacing="0" w:after="0" w:afterAutospacing="0"/>
              <w:jc w:val="center"/>
            </w:pPr>
            <w:r>
              <w:rPr>
                <w:rFonts w:ascii="仿宋_GB2312" w:eastAsia="仿宋_GB2312"/>
                <w:color w:val="000000"/>
              </w:rPr>
              <w:t>GB 6675.2-2014</w:t>
            </w:r>
          </w:p>
        </w:tc>
        <w:tc>
          <w:tcPr>
            <w:tcW w:w="990" w:type="dxa"/>
            <w:vMerge w:val="restart"/>
            <w:vAlign w:val="center"/>
          </w:tcPr>
          <w:p>
            <w:pPr>
              <w:wordWrap w:val="0"/>
              <w:spacing w:line="240" w:lineRule="atLeast"/>
              <w:jc w:val="center"/>
              <w:rPr>
                <w:rStyle w:val="15"/>
                <w:rFonts w:ascii="仿宋_GB2312" w:hAnsi="宋体" w:eastAsia="仿宋_GB2312" w:cs="Times New Roman"/>
                <w:sz w:val="24"/>
                <w:szCs w:val="24"/>
              </w:rPr>
            </w:pPr>
            <w:r>
              <w:rPr>
                <w:rStyle w:val="15"/>
                <w:rFonts w:hint="eastAsia" w:ascii="仿宋_GB2312" w:hAnsi="宋体" w:eastAsia="仿宋_GB2312" w:cs="Times New Roman"/>
                <w:sz w:val="24"/>
                <w:szCs w:val="24"/>
              </w:rPr>
              <w:t>强制性</w:t>
            </w:r>
          </w:p>
        </w:tc>
        <w:tc>
          <w:tcPr>
            <w:tcW w:w="2411" w:type="dxa"/>
            <w:vMerge w:val="restart"/>
            <w:vAlign w:val="center"/>
          </w:tcPr>
          <w:p>
            <w:pPr>
              <w:pStyle w:val="12"/>
              <w:jc w:val="center"/>
            </w:pPr>
            <w:r>
              <w:rPr>
                <w:rFonts w:ascii="仿宋_GB2312" w:eastAsia="仿宋_GB2312"/>
                <w:color w:val="000000"/>
              </w:rPr>
              <w:t>GB 6675.2-2014</w:t>
            </w:r>
          </w:p>
        </w:tc>
        <w:tc>
          <w:tcPr>
            <w:tcW w:w="851" w:type="dxa"/>
            <w:vAlign w:val="center"/>
          </w:tcPr>
          <w:p>
            <w:pPr>
              <w:jc w:val="center"/>
              <w:rPr>
                <w:rFonts w:ascii="仿宋_GB2312" w:eastAsia="仿宋_GB2312"/>
                <w:sz w:val="24"/>
                <w:szCs w:val="24"/>
              </w:rPr>
            </w:pPr>
            <w:r>
              <w:rPr>
                <w:rFonts w:ascii="仿宋_GB2312" w:eastAsia="仿宋_GB2312"/>
                <w:sz w:val="24"/>
                <w:szCs w:val="24"/>
              </w:rPr>
              <w:t>原样</w:t>
            </w: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71" w:type="dxa"/>
            <w:vMerge w:val="continue"/>
            <w:vAlign w:val="center"/>
          </w:tcPr>
          <w:p>
            <w:pPr>
              <w:pStyle w:val="5"/>
              <w:snapToGrid w:val="0"/>
              <w:spacing w:line="500" w:lineRule="exact"/>
              <w:jc w:val="center"/>
              <w:rPr>
                <w:rFonts w:ascii="仿宋_GB2312" w:hAnsi="宋体" w:eastAsia="仿宋_GB2312"/>
                <w:sz w:val="24"/>
                <w:szCs w:val="24"/>
              </w:rPr>
            </w:pPr>
          </w:p>
        </w:tc>
        <w:tc>
          <w:tcPr>
            <w:tcW w:w="2268" w:type="dxa"/>
            <w:vAlign w:val="center"/>
          </w:tcPr>
          <w:p>
            <w:pPr>
              <w:pStyle w:val="12"/>
              <w:jc w:val="center"/>
              <w:rPr>
                <w:vertAlign w:val="superscript"/>
              </w:rPr>
            </w:pPr>
            <w:r>
              <w:rPr>
                <w:rFonts w:ascii="仿宋_GB2312" w:eastAsia="仿宋_GB2312"/>
                <w:color w:val="000000"/>
              </w:rPr>
              <w:t>机械与物理性能（可预见的合理滥用）</w:t>
            </w:r>
          </w:p>
        </w:tc>
        <w:tc>
          <w:tcPr>
            <w:tcW w:w="2692" w:type="dxa"/>
            <w:vMerge w:val="continue"/>
            <w:vAlign w:val="center"/>
          </w:tcPr>
          <w:p>
            <w:pPr>
              <w:snapToGrid w:val="0"/>
              <w:jc w:val="center"/>
              <w:rPr>
                <w:rFonts w:ascii="仿宋_GB2312" w:hAnsi="宋体" w:eastAsia="仿宋_GB2312" w:cs="宋体"/>
                <w:sz w:val="24"/>
                <w:szCs w:val="24"/>
              </w:rPr>
            </w:pPr>
          </w:p>
        </w:tc>
        <w:tc>
          <w:tcPr>
            <w:tcW w:w="990" w:type="dxa"/>
            <w:vMerge w:val="continue"/>
            <w:vAlign w:val="center"/>
          </w:tcPr>
          <w:p>
            <w:pPr>
              <w:wordWrap w:val="0"/>
              <w:spacing w:line="240" w:lineRule="atLeast"/>
              <w:jc w:val="center"/>
              <w:rPr>
                <w:rStyle w:val="15"/>
                <w:rFonts w:ascii="仿宋_GB2312" w:hAnsi="宋体" w:eastAsia="仿宋_GB2312" w:cs="Times New Roman"/>
                <w:sz w:val="24"/>
                <w:szCs w:val="24"/>
              </w:rPr>
            </w:pPr>
          </w:p>
        </w:tc>
        <w:tc>
          <w:tcPr>
            <w:tcW w:w="2411" w:type="dxa"/>
            <w:vMerge w:val="continue"/>
            <w:vAlign w:val="center"/>
          </w:tcPr>
          <w:p>
            <w:pPr>
              <w:jc w:val="center"/>
              <w:rPr>
                <w:rFonts w:ascii="仿宋_GB2312" w:hAnsi="宋体" w:eastAsia="仿宋_GB2312" w:cs="Times New Roman"/>
                <w:sz w:val="24"/>
                <w:szCs w:val="24"/>
              </w:rPr>
            </w:pPr>
          </w:p>
        </w:tc>
        <w:tc>
          <w:tcPr>
            <w:tcW w:w="851" w:type="dxa"/>
            <w:vAlign w:val="center"/>
          </w:tcPr>
          <w:p>
            <w:pPr>
              <w:jc w:val="center"/>
              <w:rPr>
                <w:rFonts w:ascii="仿宋_GB2312" w:eastAsia="仿宋_GB2312"/>
                <w:sz w:val="24"/>
                <w:szCs w:val="24"/>
              </w:rPr>
            </w:pPr>
            <w:r>
              <w:rPr>
                <w:rFonts w:ascii="仿宋_GB2312" w:eastAsia="仿宋_GB2312"/>
                <w:sz w:val="24"/>
                <w:szCs w:val="24"/>
              </w:rPr>
              <w:t>不予复检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71"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w:t>
            </w:r>
          </w:p>
        </w:tc>
        <w:tc>
          <w:tcPr>
            <w:tcW w:w="2268" w:type="dxa"/>
            <w:vAlign w:val="center"/>
          </w:tcPr>
          <w:p>
            <w:pPr>
              <w:pStyle w:val="12"/>
              <w:jc w:val="center"/>
            </w:pPr>
            <w:r>
              <w:rPr>
                <w:rFonts w:ascii="仿宋_GB2312" w:eastAsia="仿宋_GB2312"/>
                <w:color w:val="000000"/>
              </w:rPr>
              <w:t>易燃性能</w:t>
            </w:r>
          </w:p>
        </w:tc>
        <w:tc>
          <w:tcPr>
            <w:tcW w:w="2692" w:type="dxa"/>
            <w:vAlign w:val="center"/>
          </w:tcPr>
          <w:p>
            <w:pPr>
              <w:spacing w:line="400" w:lineRule="exact"/>
              <w:jc w:val="center"/>
              <w:rPr>
                <w:rFonts w:ascii="仿宋_GB2312" w:hAnsi="宋体" w:eastAsia="仿宋_GB2312"/>
                <w:color w:val="000000" w:themeColor="text1"/>
                <w:sz w:val="24"/>
              </w:rPr>
            </w:pPr>
            <w:r>
              <w:rPr>
                <w:rFonts w:ascii="仿宋_GB2312" w:hAnsi="宋体" w:eastAsia="仿宋_GB2312"/>
                <w:color w:val="000000" w:themeColor="text1"/>
                <w:sz w:val="24"/>
              </w:rPr>
              <w:t>GB 6675.</w:t>
            </w:r>
            <w:r>
              <w:rPr>
                <w:rFonts w:hint="eastAsia" w:ascii="仿宋_GB2312" w:hAnsi="宋体" w:eastAsia="仿宋_GB2312"/>
                <w:color w:val="000000" w:themeColor="text1"/>
                <w:sz w:val="24"/>
              </w:rPr>
              <w:t>1</w:t>
            </w:r>
            <w:r>
              <w:rPr>
                <w:rFonts w:ascii="仿宋_GB2312" w:hAnsi="宋体" w:eastAsia="仿宋_GB2312"/>
                <w:color w:val="000000" w:themeColor="text1"/>
                <w:sz w:val="24"/>
              </w:rPr>
              <w:t>-2014</w:t>
            </w:r>
            <w:r>
              <w:rPr>
                <w:rFonts w:hint="eastAsia" w:ascii="仿宋_GB2312" w:hAnsi="宋体" w:eastAsia="仿宋_GB2312"/>
                <w:color w:val="000000" w:themeColor="text1"/>
                <w:sz w:val="24"/>
              </w:rPr>
              <w:t xml:space="preserve"> 5.2、</w:t>
            </w:r>
          </w:p>
          <w:p>
            <w:pPr>
              <w:spacing w:line="400" w:lineRule="exact"/>
              <w:jc w:val="center"/>
              <w:rPr>
                <w:rFonts w:ascii="仿宋_GB2312" w:hAnsi="宋体" w:eastAsia="仿宋_GB2312"/>
                <w:color w:val="000000" w:themeColor="text1"/>
                <w:sz w:val="24"/>
              </w:rPr>
            </w:pPr>
            <w:r>
              <w:rPr>
                <w:rFonts w:ascii="仿宋_GB2312" w:hAnsi="宋体" w:eastAsia="仿宋_GB2312"/>
                <w:color w:val="000000" w:themeColor="text1"/>
                <w:sz w:val="24"/>
              </w:rPr>
              <w:t>GB 6675.3-2014</w:t>
            </w:r>
          </w:p>
        </w:tc>
        <w:tc>
          <w:tcPr>
            <w:tcW w:w="990" w:type="dxa"/>
            <w:vAlign w:val="center"/>
          </w:tcPr>
          <w:p>
            <w:pPr>
              <w:wordWrap w:val="0"/>
              <w:spacing w:line="240" w:lineRule="atLeast"/>
              <w:jc w:val="center"/>
              <w:rPr>
                <w:rStyle w:val="15"/>
                <w:rFonts w:ascii="仿宋_GB2312" w:hAnsi="宋体" w:eastAsia="仿宋_GB2312" w:cs="Times New Roman"/>
                <w:sz w:val="24"/>
                <w:szCs w:val="24"/>
              </w:rPr>
            </w:pPr>
            <w:r>
              <w:rPr>
                <w:rStyle w:val="15"/>
                <w:rFonts w:hint="eastAsia" w:ascii="仿宋_GB2312" w:hAnsi="宋体" w:eastAsia="仿宋_GB2312" w:cs="Times New Roman"/>
                <w:sz w:val="24"/>
                <w:szCs w:val="24"/>
              </w:rPr>
              <w:t>强制性</w:t>
            </w:r>
          </w:p>
        </w:tc>
        <w:tc>
          <w:tcPr>
            <w:tcW w:w="2411" w:type="dxa"/>
            <w:vAlign w:val="center"/>
          </w:tcPr>
          <w:p>
            <w:pPr>
              <w:pStyle w:val="12"/>
              <w:jc w:val="center"/>
            </w:pPr>
            <w:r>
              <w:rPr>
                <w:rFonts w:ascii="仿宋_GB2312" w:eastAsia="仿宋_GB2312"/>
                <w:color w:val="000000"/>
              </w:rPr>
              <w:t>GB 6675.3-2014</w:t>
            </w:r>
          </w:p>
        </w:tc>
        <w:tc>
          <w:tcPr>
            <w:tcW w:w="851" w:type="dxa"/>
            <w:vAlign w:val="center"/>
          </w:tcPr>
          <w:p>
            <w:pPr>
              <w:jc w:val="center"/>
              <w:rPr>
                <w:rFonts w:ascii="仿宋_GB2312" w:eastAsia="仿宋_GB2312"/>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71"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3</w:t>
            </w:r>
          </w:p>
        </w:tc>
        <w:tc>
          <w:tcPr>
            <w:tcW w:w="2268" w:type="dxa"/>
            <w:vAlign w:val="center"/>
          </w:tcPr>
          <w:p>
            <w:pPr>
              <w:pStyle w:val="12"/>
              <w:jc w:val="center"/>
            </w:pPr>
            <w:r>
              <w:rPr>
                <w:rFonts w:ascii="仿宋_GB2312" w:eastAsia="仿宋_GB2312"/>
                <w:color w:val="000000"/>
              </w:rPr>
              <w:t>特定元素</w:t>
            </w:r>
            <w:r>
              <w:rPr>
                <w:rFonts w:hint="eastAsia" w:ascii="仿宋_GB2312" w:eastAsia="仿宋_GB2312"/>
                <w:color w:val="000000"/>
              </w:rPr>
              <w:t>的</w:t>
            </w:r>
            <w:r>
              <w:rPr>
                <w:rFonts w:ascii="仿宋_GB2312" w:eastAsia="仿宋_GB2312"/>
                <w:color w:val="000000"/>
              </w:rPr>
              <w:t>迁移</w:t>
            </w:r>
            <w:r>
              <w:rPr>
                <w:rFonts w:hint="eastAsia" w:ascii="仿宋_GB2312" w:hAnsi="Times New Roman" w:eastAsia="仿宋_GB2312" w:cs="Times New Roman"/>
                <w:color w:val="000000" w:themeColor="text1"/>
                <w:sz w:val="28"/>
                <w:vertAlign w:val="superscript"/>
              </w:rPr>
              <w:t>2</w:t>
            </w:r>
          </w:p>
        </w:tc>
        <w:tc>
          <w:tcPr>
            <w:tcW w:w="2692" w:type="dxa"/>
            <w:vAlign w:val="center"/>
          </w:tcPr>
          <w:p>
            <w:pPr>
              <w:spacing w:line="400" w:lineRule="exact"/>
              <w:jc w:val="center"/>
              <w:rPr>
                <w:rFonts w:ascii="仿宋_GB2312" w:hAnsi="宋体" w:eastAsia="仿宋_GB2312"/>
                <w:color w:val="000000" w:themeColor="text1"/>
                <w:sz w:val="24"/>
              </w:rPr>
            </w:pPr>
            <w:r>
              <w:rPr>
                <w:rFonts w:ascii="仿宋_GB2312" w:hAnsi="宋体" w:eastAsia="仿宋_GB2312"/>
                <w:color w:val="000000" w:themeColor="text1"/>
                <w:sz w:val="24"/>
              </w:rPr>
              <w:t>GB 6675.</w:t>
            </w:r>
            <w:r>
              <w:rPr>
                <w:rFonts w:hint="eastAsia" w:ascii="仿宋_GB2312" w:hAnsi="宋体" w:eastAsia="仿宋_GB2312"/>
                <w:color w:val="000000" w:themeColor="text1"/>
                <w:sz w:val="24"/>
              </w:rPr>
              <w:t>1</w:t>
            </w:r>
            <w:r>
              <w:rPr>
                <w:rFonts w:ascii="仿宋_GB2312" w:hAnsi="宋体" w:eastAsia="仿宋_GB2312"/>
                <w:color w:val="000000" w:themeColor="text1"/>
                <w:sz w:val="24"/>
              </w:rPr>
              <w:t>-2014</w:t>
            </w:r>
            <w:r>
              <w:rPr>
                <w:rFonts w:hint="eastAsia" w:ascii="仿宋_GB2312" w:hAnsi="宋体" w:eastAsia="仿宋_GB2312"/>
                <w:color w:val="000000" w:themeColor="text1"/>
                <w:sz w:val="24"/>
              </w:rPr>
              <w:t xml:space="preserve"> 5.3.3、</w:t>
            </w:r>
          </w:p>
          <w:p>
            <w:pPr>
              <w:spacing w:line="400" w:lineRule="exact"/>
              <w:jc w:val="center"/>
              <w:rPr>
                <w:rFonts w:ascii="仿宋_GB2312" w:hAnsi="宋体" w:eastAsia="仿宋_GB2312"/>
                <w:color w:val="000000" w:themeColor="text1"/>
                <w:sz w:val="24"/>
              </w:rPr>
            </w:pPr>
            <w:r>
              <w:rPr>
                <w:rFonts w:ascii="仿宋_GB2312" w:hAnsi="宋体" w:eastAsia="仿宋_GB2312"/>
                <w:color w:val="000000" w:themeColor="text1"/>
                <w:sz w:val="24"/>
              </w:rPr>
              <w:t>GB 6675.4-2014</w:t>
            </w:r>
          </w:p>
        </w:tc>
        <w:tc>
          <w:tcPr>
            <w:tcW w:w="990" w:type="dxa"/>
            <w:vAlign w:val="center"/>
          </w:tcPr>
          <w:p>
            <w:pPr>
              <w:wordWrap w:val="0"/>
              <w:spacing w:line="240" w:lineRule="atLeast"/>
              <w:jc w:val="center"/>
              <w:rPr>
                <w:rStyle w:val="15"/>
                <w:rFonts w:ascii="仿宋_GB2312" w:hAnsi="宋体" w:eastAsia="仿宋_GB2312" w:cs="Times New Roman"/>
                <w:sz w:val="24"/>
                <w:szCs w:val="24"/>
              </w:rPr>
            </w:pPr>
            <w:r>
              <w:rPr>
                <w:rStyle w:val="15"/>
                <w:rFonts w:hint="eastAsia" w:ascii="仿宋_GB2312" w:hAnsi="宋体" w:eastAsia="仿宋_GB2312" w:cs="Times New Roman"/>
                <w:sz w:val="24"/>
                <w:szCs w:val="24"/>
              </w:rPr>
              <w:t>强制性</w:t>
            </w:r>
          </w:p>
        </w:tc>
        <w:tc>
          <w:tcPr>
            <w:tcW w:w="2411" w:type="dxa"/>
            <w:vAlign w:val="center"/>
          </w:tcPr>
          <w:p>
            <w:pPr>
              <w:pStyle w:val="12"/>
              <w:jc w:val="center"/>
            </w:pPr>
            <w:r>
              <w:rPr>
                <w:rFonts w:ascii="仿宋_GB2312" w:eastAsia="仿宋_GB2312"/>
                <w:color w:val="000000"/>
              </w:rPr>
              <w:t>GB 6675.4-2014</w:t>
            </w:r>
          </w:p>
        </w:tc>
        <w:tc>
          <w:tcPr>
            <w:tcW w:w="851" w:type="dxa"/>
            <w:vAlign w:val="center"/>
          </w:tcPr>
          <w:p>
            <w:pPr>
              <w:jc w:val="center"/>
              <w:rPr>
                <w:rFonts w:ascii="仿宋_GB2312" w:eastAsia="仿宋_GB2312"/>
                <w:sz w:val="24"/>
                <w:szCs w:val="24"/>
              </w:rPr>
            </w:pPr>
            <w:r>
              <w:rPr>
                <w:rFonts w:ascii="仿宋_GB2312" w:eastAsia="仿宋_GB2312"/>
                <w:sz w:val="24"/>
                <w:szCs w:val="24"/>
              </w:rPr>
              <w:t>原样</w:t>
            </w: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71"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4</w:t>
            </w:r>
          </w:p>
        </w:tc>
        <w:tc>
          <w:tcPr>
            <w:tcW w:w="2268" w:type="dxa"/>
            <w:vAlign w:val="center"/>
          </w:tcPr>
          <w:p>
            <w:pPr>
              <w:pStyle w:val="12"/>
              <w:jc w:val="center"/>
              <w:rPr>
                <w:vertAlign w:val="superscript"/>
              </w:rPr>
            </w:pPr>
            <w:r>
              <w:rPr>
                <w:rFonts w:ascii="仿宋_GB2312" w:eastAsia="仿宋_GB2312"/>
              </w:rPr>
              <w:t>增塑剂</w:t>
            </w:r>
            <w:r>
              <w:rPr>
                <w:rFonts w:hint="eastAsia" w:ascii="仿宋_GB2312" w:hAnsi="Times New Roman" w:eastAsia="仿宋_GB2312" w:cs="Times New Roman"/>
                <w:color w:val="000000" w:themeColor="text1"/>
                <w:sz w:val="28"/>
                <w:vertAlign w:val="superscript"/>
              </w:rPr>
              <w:t>3</w:t>
            </w:r>
          </w:p>
        </w:tc>
        <w:tc>
          <w:tcPr>
            <w:tcW w:w="2692" w:type="dxa"/>
            <w:vAlign w:val="center"/>
          </w:tcPr>
          <w:p>
            <w:pPr>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GB </w:t>
            </w:r>
            <w:r>
              <w:rPr>
                <w:rFonts w:ascii="仿宋_GB2312" w:hAnsi="宋体" w:eastAsia="仿宋_GB2312" w:cs="宋体"/>
                <w:kern w:val="0"/>
                <w:sz w:val="24"/>
                <w:szCs w:val="24"/>
              </w:rPr>
              <w:t>6675.1-2014</w:t>
            </w:r>
            <w:r>
              <w:rPr>
                <w:rFonts w:hint="eastAsia" w:ascii="仿宋_GB2312" w:hAnsi="宋体" w:eastAsia="仿宋_GB2312" w:cs="宋体"/>
                <w:kern w:val="0"/>
                <w:sz w:val="24"/>
                <w:szCs w:val="24"/>
              </w:rPr>
              <w:t xml:space="preserve"> 5.</w:t>
            </w:r>
            <w:r>
              <w:rPr>
                <w:rFonts w:ascii="仿宋_GB2312" w:hAnsi="宋体" w:eastAsia="仿宋_GB2312" w:cs="宋体"/>
                <w:kern w:val="0"/>
                <w:sz w:val="24"/>
                <w:szCs w:val="24"/>
              </w:rPr>
              <w:t>3.7</w:t>
            </w:r>
          </w:p>
        </w:tc>
        <w:tc>
          <w:tcPr>
            <w:tcW w:w="990" w:type="dxa"/>
            <w:vAlign w:val="center"/>
          </w:tcPr>
          <w:p>
            <w:pPr>
              <w:wordWrap w:val="0"/>
              <w:spacing w:line="240" w:lineRule="atLeast"/>
              <w:jc w:val="center"/>
              <w:rPr>
                <w:rStyle w:val="15"/>
                <w:rFonts w:ascii="仿宋_GB2312" w:hAnsi="宋体" w:eastAsia="仿宋_GB2312" w:cs="Times New Roman"/>
                <w:sz w:val="24"/>
                <w:szCs w:val="24"/>
              </w:rPr>
            </w:pPr>
            <w:r>
              <w:rPr>
                <w:rStyle w:val="15"/>
                <w:rFonts w:hint="eastAsia" w:ascii="仿宋_GB2312" w:hAnsi="宋体" w:eastAsia="仿宋_GB2312" w:cs="Times New Roman"/>
                <w:sz w:val="24"/>
                <w:szCs w:val="24"/>
              </w:rPr>
              <w:t>强制性</w:t>
            </w:r>
          </w:p>
        </w:tc>
        <w:tc>
          <w:tcPr>
            <w:tcW w:w="2411" w:type="dxa"/>
            <w:vAlign w:val="center"/>
          </w:tcPr>
          <w:p>
            <w:pPr>
              <w:pStyle w:val="12"/>
              <w:jc w:val="center"/>
            </w:pPr>
            <w:r>
              <w:rPr>
                <w:rFonts w:ascii="仿宋_GB2312" w:eastAsia="仿宋_GB2312"/>
              </w:rPr>
              <w:t>GB/T</w:t>
            </w:r>
            <w:r>
              <w:rPr>
                <w:rFonts w:hint="eastAsia" w:ascii="仿宋_GB2312" w:eastAsia="仿宋_GB2312"/>
              </w:rPr>
              <w:t xml:space="preserve"> </w:t>
            </w:r>
            <w:r>
              <w:rPr>
                <w:rFonts w:ascii="仿宋_GB2312" w:eastAsia="仿宋_GB2312"/>
              </w:rPr>
              <w:t>22048-2015</w:t>
            </w:r>
          </w:p>
        </w:tc>
        <w:tc>
          <w:tcPr>
            <w:tcW w:w="851" w:type="dxa"/>
            <w:vAlign w:val="center"/>
          </w:tcPr>
          <w:p>
            <w:pPr>
              <w:jc w:val="center"/>
              <w:rPr>
                <w:rFonts w:ascii="仿宋_GB2312" w:eastAsia="仿宋_GB2312"/>
                <w:sz w:val="24"/>
                <w:szCs w:val="24"/>
              </w:rPr>
            </w:pPr>
            <w:r>
              <w:rPr>
                <w:rFonts w:ascii="仿宋_GB2312" w:eastAsia="仿宋_GB2312"/>
                <w:sz w:val="24"/>
                <w:szCs w:val="24"/>
              </w:rPr>
              <w:t>原样</w:t>
            </w: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71" w:type="dxa"/>
            <w:vAlign w:val="center"/>
          </w:tcPr>
          <w:p>
            <w:pPr>
              <w:pStyle w:val="5"/>
              <w:snapToGrid w:val="0"/>
              <w:jc w:val="center"/>
              <w:rPr>
                <w:rFonts w:ascii="仿宋_GB2312" w:hAnsi="宋体" w:eastAsia="仿宋_GB2312"/>
                <w:sz w:val="24"/>
                <w:szCs w:val="24"/>
              </w:rPr>
            </w:pPr>
            <w:r>
              <w:rPr>
                <w:rFonts w:hint="eastAsia" w:ascii="仿宋_GB2312" w:hAnsi="宋体" w:eastAsia="仿宋_GB2312"/>
                <w:sz w:val="24"/>
                <w:szCs w:val="24"/>
              </w:rPr>
              <w:t>5</w:t>
            </w:r>
          </w:p>
        </w:tc>
        <w:tc>
          <w:tcPr>
            <w:tcW w:w="2268" w:type="dxa"/>
            <w:vAlign w:val="center"/>
          </w:tcPr>
          <w:p>
            <w:pPr>
              <w:jc w:val="center"/>
              <w:rPr>
                <w:rFonts w:ascii="仿宋_GB2312" w:hAnsi="宋体" w:eastAsia="仿宋_GB2312"/>
                <w:sz w:val="24"/>
              </w:rPr>
            </w:pPr>
            <w:r>
              <w:rPr>
                <w:rFonts w:hint="eastAsia" w:ascii="仿宋_GB2312" w:hAnsi="宋体" w:eastAsia="仿宋_GB2312"/>
                <w:sz w:val="24"/>
              </w:rPr>
              <w:t>玩具标识（年龄范围、玩具警告标识）</w:t>
            </w:r>
          </w:p>
        </w:tc>
        <w:tc>
          <w:tcPr>
            <w:tcW w:w="2692" w:type="dxa"/>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GB 6675.1-2014 5.7</w:t>
            </w:r>
          </w:p>
        </w:tc>
        <w:tc>
          <w:tcPr>
            <w:tcW w:w="990" w:type="dxa"/>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411" w:type="dxa"/>
            <w:vAlign w:val="center"/>
          </w:tcPr>
          <w:p>
            <w:pPr>
              <w:jc w:val="center"/>
              <w:rPr>
                <w:rFonts w:ascii="仿宋_GB2312" w:hAnsi="宋体" w:eastAsia="仿宋_GB2312"/>
                <w:sz w:val="24"/>
              </w:rPr>
            </w:pPr>
            <w:r>
              <w:rPr>
                <w:rFonts w:ascii="仿宋_GB2312" w:hAnsi="宋体" w:eastAsia="仿宋_GB2312"/>
                <w:sz w:val="24"/>
              </w:rPr>
              <w:t>GB 6675.</w:t>
            </w:r>
            <w:r>
              <w:rPr>
                <w:rFonts w:hint="eastAsia" w:ascii="仿宋_GB2312" w:hAnsi="宋体" w:eastAsia="仿宋_GB2312"/>
                <w:sz w:val="24"/>
              </w:rPr>
              <w:t>1</w:t>
            </w:r>
            <w:r>
              <w:rPr>
                <w:rFonts w:ascii="仿宋_GB2312" w:hAnsi="宋体" w:eastAsia="仿宋_GB2312"/>
                <w:sz w:val="24"/>
              </w:rPr>
              <w:t>-2014</w:t>
            </w:r>
            <w:r>
              <w:rPr>
                <w:rFonts w:hint="eastAsia" w:ascii="仿宋_GB2312" w:hAnsi="宋体" w:eastAsia="仿宋_GB2312"/>
                <w:sz w:val="24"/>
              </w:rPr>
              <w:t xml:space="preserve"> 5.7、</w:t>
            </w:r>
            <w:r>
              <w:rPr>
                <w:rFonts w:ascii="仿宋_GB2312" w:hAnsi="宋体" w:eastAsia="仿宋_GB2312"/>
                <w:sz w:val="24"/>
              </w:rPr>
              <w:t>GB/T</w:t>
            </w:r>
            <w:r>
              <w:rPr>
                <w:rFonts w:hint="eastAsia" w:ascii="仿宋_GB2312" w:hAnsi="宋体" w:eastAsia="仿宋_GB2312"/>
                <w:sz w:val="24"/>
              </w:rPr>
              <w:t xml:space="preserve"> </w:t>
            </w:r>
            <w:r>
              <w:rPr>
                <w:rFonts w:ascii="仿宋_GB2312" w:hAnsi="宋体" w:eastAsia="仿宋_GB2312"/>
                <w:sz w:val="24"/>
              </w:rPr>
              <w:t>28022</w:t>
            </w:r>
            <w:r>
              <w:rPr>
                <w:rFonts w:hint="eastAsia" w:ascii="仿宋_GB2312" w:hAnsi="宋体" w:eastAsia="仿宋_GB2312"/>
                <w:sz w:val="24"/>
              </w:rPr>
              <w:t>-2011</w:t>
            </w:r>
          </w:p>
        </w:tc>
        <w:tc>
          <w:tcPr>
            <w:tcW w:w="851" w:type="dxa"/>
            <w:vAlign w:val="center"/>
          </w:tcPr>
          <w:p>
            <w:pPr>
              <w:jc w:val="center"/>
              <w:rPr>
                <w:rFonts w:ascii="仿宋_GB2312" w:eastAsia="仿宋_GB2312"/>
                <w:sz w:val="24"/>
                <w:szCs w:val="24"/>
              </w:rPr>
            </w:pPr>
            <w:r>
              <w:rPr>
                <w:rFonts w:ascii="仿宋_GB2312"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71"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6</w:t>
            </w:r>
          </w:p>
        </w:tc>
        <w:tc>
          <w:tcPr>
            <w:tcW w:w="2268" w:type="dxa"/>
            <w:vAlign w:val="center"/>
          </w:tcPr>
          <w:p>
            <w:pPr>
              <w:spacing w:line="400" w:lineRule="exact"/>
              <w:jc w:val="center"/>
            </w:pPr>
            <w:r>
              <w:rPr>
                <w:rFonts w:ascii="仿宋_GB2312" w:hAnsi="宋体" w:eastAsia="仿宋_GB2312"/>
                <w:sz w:val="24"/>
              </w:rPr>
              <w:t>特定挥发性有机化合物释放总量</w:t>
            </w:r>
            <w:r>
              <w:rPr>
                <w:rFonts w:hint="eastAsia" w:ascii="仿宋_GB2312" w:hAnsi="宋体" w:eastAsia="仿宋_GB2312"/>
                <w:sz w:val="28"/>
                <w:szCs w:val="28"/>
                <w:vertAlign w:val="superscript"/>
              </w:rPr>
              <w:t>4</w:t>
            </w:r>
          </w:p>
        </w:tc>
        <w:tc>
          <w:tcPr>
            <w:tcW w:w="2692" w:type="dxa"/>
            <w:vAlign w:val="center"/>
          </w:tcPr>
          <w:p>
            <w:pPr>
              <w:spacing w:line="40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SZJG 55-2018</w:t>
            </w:r>
            <w:r>
              <w:rPr>
                <w:rFonts w:hint="eastAsia" w:ascii="仿宋_GB2312" w:hAnsi="宋体" w:eastAsia="仿宋_GB2312" w:cs="宋体"/>
                <w:kern w:val="0"/>
                <w:sz w:val="24"/>
                <w:szCs w:val="24"/>
              </w:rPr>
              <w:t xml:space="preserve"> 4.3</w:t>
            </w:r>
          </w:p>
        </w:tc>
        <w:tc>
          <w:tcPr>
            <w:tcW w:w="990"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强制性</w:t>
            </w:r>
          </w:p>
        </w:tc>
        <w:tc>
          <w:tcPr>
            <w:tcW w:w="2411" w:type="dxa"/>
            <w:vAlign w:val="center"/>
          </w:tcPr>
          <w:p>
            <w:pPr>
              <w:spacing w:line="40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SZJG 55-2018附录A</w:t>
            </w:r>
          </w:p>
        </w:tc>
        <w:tc>
          <w:tcPr>
            <w:tcW w:w="851" w:type="dxa"/>
            <w:vAlign w:val="center"/>
          </w:tcPr>
          <w:p>
            <w:pPr>
              <w:jc w:val="center"/>
              <w:rPr>
                <w:rFonts w:ascii="仿宋_GB2312" w:eastAsia="仿宋_GB2312"/>
                <w:sz w:val="24"/>
                <w:szCs w:val="24"/>
              </w:rPr>
            </w:pPr>
            <w:r>
              <w:rPr>
                <w:rFonts w:ascii="仿宋_GB2312" w:eastAsia="仿宋_GB2312"/>
                <w:sz w:val="24"/>
                <w:szCs w:val="24"/>
              </w:rPr>
              <w:t>原样</w:t>
            </w: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71"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7</w:t>
            </w:r>
          </w:p>
        </w:tc>
        <w:tc>
          <w:tcPr>
            <w:tcW w:w="2268"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甲酰胺</w:t>
            </w:r>
            <w:r>
              <w:rPr>
                <w:rFonts w:hint="eastAsia" w:ascii="仿宋_GB2312" w:hAnsi="宋体" w:eastAsia="仿宋_GB2312"/>
                <w:sz w:val="28"/>
                <w:szCs w:val="28"/>
                <w:vertAlign w:val="superscript"/>
              </w:rPr>
              <w:t>4</w:t>
            </w:r>
          </w:p>
        </w:tc>
        <w:tc>
          <w:tcPr>
            <w:tcW w:w="2692" w:type="dxa"/>
            <w:vAlign w:val="center"/>
          </w:tcPr>
          <w:p>
            <w:pPr>
              <w:spacing w:line="40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SZJG 55-2018</w:t>
            </w:r>
            <w:r>
              <w:rPr>
                <w:rFonts w:hint="eastAsia" w:ascii="仿宋_GB2312" w:hAnsi="宋体" w:eastAsia="仿宋_GB2312" w:cs="宋体"/>
                <w:kern w:val="0"/>
                <w:sz w:val="24"/>
                <w:szCs w:val="24"/>
              </w:rPr>
              <w:t xml:space="preserve"> 4.4</w:t>
            </w:r>
          </w:p>
        </w:tc>
        <w:tc>
          <w:tcPr>
            <w:tcW w:w="990"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强制性</w:t>
            </w:r>
          </w:p>
        </w:tc>
        <w:tc>
          <w:tcPr>
            <w:tcW w:w="2411" w:type="dxa"/>
            <w:vAlign w:val="center"/>
          </w:tcPr>
          <w:p>
            <w:pPr>
              <w:spacing w:line="400" w:lineRule="exact"/>
              <w:jc w:val="center"/>
              <w:rPr>
                <w:rFonts w:ascii="仿宋_GB2312" w:hAnsi="宋体" w:eastAsia="仿宋_GB2312" w:cs="宋体"/>
                <w:kern w:val="0"/>
                <w:sz w:val="24"/>
                <w:szCs w:val="24"/>
              </w:rPr>
            </w:pPr>
            <w:r>
              <w:rPr>
                <w:rFonts w:ascii="仿宋_GB2312" w:hAnsi="宋体" w:eastAsia="仿宋_GB2312" w:cs="宋体"/>
                <w:kern w:val="0"/>
                <w:sz w:val="24"/>
                <w:szCs w:val="24"/>
              </w:rPr>
              <w:t>GB/T 34436</w:t>
            </w:r>
            <w:r>
              <w:rPr>
                <w:rFonts w:hint="eastAsia" w:ascii="仿宋_GB2312" w:hAnsi="宋体" w:eastAsia="仿宋_GB2312" w:cs="宋体"/>
                <w:kern w:val="0"/>
                <w:sz w:val="24"/>
                <w:szCs w:val="24"/>
              </w:rPr>
              <w:t>-2017</w:t>
            </w:r>
          </w:p>
        </w:tc>
        <w:tc>
          <w:tcPr>
            <w:tcW w:w="851" w:type="dxa"/>
            <w:vAlign w:val="center"/>
          </w:tcPr>
          <w:p>
            <w:pPr>
              <w:jc w:val="center"/>
              <w:rPr>
                <w:rFonts w:ascii="仿宋_GB2312" w:eastAsia="仿宋_GB2312"/>
                <w:sz w:val="24"/>
                <w:szCs w:val="24"/>
              </w:rPr>
            </w:pPr>
            <w:r>
              <w:rPr>
                <w:rFonts w:ascii="仿宋_GB2312" w:eastAsia="仿宋_GB2312"/>
                <w:sz w:val="24"/>
                <w:szCs w:val="24"/>
              </w:rPr>
              <w:t>原样</w:t>
            </w: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83" w:type="dxa"/>
            <w:gridSpan w:val="6"/>
            <w:vAlign w:val="center"/>
          </w:tcPr>
          <w:p>
            <w:pPr>
              <w:jc w:val="left"/>
              <w:rPr>
                <w:rFonts w:ascii="仿宋_GB2312" w:hAnsi="宋体" w:eastAsia="仿宋_GB2312"/>
                <w:sz w:val="24"/>
              </w:rPr>
            </w:pPr>
            <w:r>
              <w:rPr>
                <w:rFonts w:hint="eastAsia" w:ascii="仿宋_GB2312" w:hAnsi="宋体" w:eastAsia="仿宋_GB2312"/>
                <w:sz w:val="24"/>
              </w:rPr>
              <w:t>注1：</w:t>
            </w:r>
            <w:r>
              <w:rPr>
                <w:rFonts w:ascii="仿宋_GB2312" w:hAnsi="宋体" w:eastAsia="仿宋_GB2312"/>
                <w:sz w:val="24"/>
              </w:rPr>
              <w:t>机械与物理性能（正常使用）</w:t>
            </w:r>
            <w:r>
              <w:rPr>
                <w:rFonts w:hint="eastAsia" w:ascii="仿宋_GB2312" w:hAnsi="宋体" w:eastAsia="仿宋_GB2312"/>
                <w:sz w:val="24"/>
              </w:rPr>
              <w:t>项目原则上须选择原样进行复检，但因可预见的合理滥用检测导致样品被破坏而使原样不能用于机械与物理性能（正常使用）项目复检时，可用备样复检。机械与物理性能应对所有适用项目进行测试，不适用的项目应在报告中予以说明。</w:t>
            </w:r>
          </w:p>
          <w:p>
            <w:pPr>
              <w:jc w:val="left"/>
              <w:rPr>
                <w:rFonts w:ascii="仿宋_GB2312" w:hAnsi="宋体" w:eastAsia="仿宋_GB2312"/>
                <w:sz w:val="24"/>
              </w:rPr>
            </w:pPr>
            <w:r>
              <w:rPr>
                <w:rFonts w:hint="eastAsia" w:ascii="仿宋_GB2312" w:hAnsi="宋体" w:eastAsia="仿宋_GB2312"/>
                <w:sz w:val="24"/>
              </w:rPr>
              <w:t>注2：特定元素的迁移项目原则上使用原样复检，但原样样品量不足时，可使用备样复检。</w:t>
            </w:r>
          </w:p>
          <w:p>
            <w:pPr>
              <w:jc w:val="left"/>
              <w:rPr>
                <w:rFonts w:ascii="仿宋_GB2312" w:hAnsi="宋体" w:eastAsia="仿宋_GB2312"/>
                <w:sz w:val="24"/>
              </w:rPr>
            </w:pPr>
            <w:r>
              <w:rPr>
                <w:rFonts w:hint="eastAsia" w:ascii="仿宋_GB2312" w:hAnsi="宋体" w:eastAsia="仿宋_GB2312"/>
                <w:sz w:val="24"/>
              </w:rPr>
              <w:t>注3：增塑剂项目优先选取软胶、皮革或涂层等2个材料进行测试，取样量不足0.1g时不进行测试。增塑剂项目原则上使用原样复检，但原样样品量不足时，可使用备样复检。</w:t>
            </w:r>
          </w:p>
          <w:p>
            <w:pPr>
              <w:jc w:val="left"/>
              <w:rPr>
                <w:rFonts w:ascii="仿宋_GB2312" w:hAnsi="宋体" w:eastAsia="仿宋_GB2312"/>
                <w:sz w:val="24"/>
              </w:rPr>
            </w:pPr>
            <w:r>
              <w:rPr>
                <w:rFonts w:hint="eastAsia" w:ascii="仿宋_GB2312" w:hAnsi="宋体" w:eastAsia="仿宋_GB2312"/>
                <w:sz w:val="24"/>
              </w:rPr>
              <w:t>注4：特定挥发性有机化合释放总量、甲酰胺项目原则上使用原样复检，但原样样品量不足时，可使用备样复检。</w:t>
            </w:r>
          </w:p>
        </w:tc>
      </w:tr>
    </w:tbl>
    <w:p>
      <w:pPr>
        <w:snapToGrid w:val="0"/>
        <w:spacing w:line="360" w:lineRule="auto"/>
        <w:rPr>
          <w:rFonts w:ascii="仿宋_GB2312" w:hAnsi="Calibri" w:eastAsia="仿宋_GB2312" w:cs="Sim Sun"/>
          <w:b/>
          <w:kern w:val="0"/>
          <w:sz w:val="28"/>
          <w:szCs w:val="28"/>
        </w:rPr>
      </w:pPr>
    </w:p>
    <w:p>
      <w:pPr>
        <w:snapToGrid w:val="0"/>
        <w:spacing w:line="360" w:lineRule="auto"/>
        <w:rPr>
          <w:rFonts w:ascii="仿宋_GB2312" w:hAnsi="宋体" w:eastAsia="仿宋_GB2312" w:cs="Times New Roman"/>
          <w:b/>
          <w:sz w:val="28"/>
          <w:szCs w:val="28"/>
        </w:rPr>
      </w:pPr>
      <w:r>
        <w:rPr>
          <w:rFonts w:hint="eastAsia" w:ascii="仿宋_GB2312" w:hAnsi="Calibri" w:eastAsia="仿宋_GB2312" w:cs="Sim Sun"/>
          <w:b/>
          <w:kern w:val="0"/>
          <w:sz w:val="28"/>
          <w:szCs w:val="28"/>
        </w:rPr>
        <w:t>6.</w:t>
      </w:r>
      <w:r>
        <w:rPr>
          <w:rFonts w:ascii="仿宋_GB2312" w:hAnsi="Calibri" w:eastAsia="仿宋_GB2312" w:cs="Sim Sun"/>
          <w:b/>
          <w:kern w:val="0"/>
          <w:sz w:val="28"/>
          <w:szCs w:val="28"/>
        </w:rPr>
        <w:t>2</w:t>
      </w:r>
      <w:r>
        <w:rPr>
          <w:rFonts w:hint="eastAsia" w:ascii="仿宋_GB2312" w:hAnsi="Calibri" w:eastAsia="仿宋_GB2312" w:cs="Sim Sun"/>
          <w:b/>
          <w:kern w:val="0"/>
          <w:sz w:val="28"/>
          <w:szCs w:val="28"/>
        </w:rPr>
        <w:t xml:space="preserve"> 检验应注意的问题</w:t>
      </w:r>
    </w:p>
    <w:p>
      <w:pPr>
        <w:snapToGrid w:val="0"/>
        <w:spacing w:line="360" w:lineRule="auto"/>
        <w:rPr>
          <w:rFonts w:ascii="仿宋_GB2312" w:hAnsi="宋体" w:eastAsia="仿宋_GB2312" w:cs="Times New Roman"/>
          <w:iCs/>
          <w:sz w:val="28"/>
          <w:szCs w:val="28"/>
        </w:rPr>
      </w:pPr>
      <w:r>
        <w:rPr>
          <w:rFonts w:hint="eastAsia" w:ascii="仿宋_GB2312" w:hAnsi="Calibri" w:eastAsia="仿宋_GB2312" w:cs="Sim Sun"/>
          <w:b/>
          <w:kern w:val="0"/>
          <w:sz w:val="28"/>
          <w:szCs w:val="28"/>
        </w:rPr>
        <w:t>6.</w:t>
      </w:r>
      <w:r>
        <w:rPr>
          <w:rFonts w:ascii="仿宋_GB2312" w:hAnsi="Calibri" w:eastAsia="仿宋_GB2312" w:cs="Sim Sun"/>
          <w:b/>
          <w:kern w:val="0"/>
          <w:sz w:val="28"/>
          <w:szCs w:val="28"/>
        </w:rPr>
        <w:t>2</w:t>
      </w:r>
      <w:r>
        <w:rPr>
          <w:rFonts w:hint="eastAsia" w:ascii="仿宋_GB2312" w:hAnsi="Calibri" w:eastAsia="仿宋_GB2312" w:cs="Sim Sun"/>
          <w:b/>
          <w:kern w:val="0"/>
          <w:sz w:val="28"/>
          <w:szCs w:val="28"/>
        </w:rPr>
        <w:t>.1</w:t>
      </w:r>
      <w:r>
        <w:rPr>
          <w:rFonts w:hint="eastAsia" w:ascii="仿宋_GB2312" w:hAnsi="Calibri" w:eastAsia="仿宋_GB2312" w:cs="Sim Sun"/>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cs="Times New Roman"/>
          <w:sz w:val="28"/>
          <w:szCs w:val="28"/>
        </w:rPr>
        <w:t>备用</w:t>
      </w:r>
      <w:r>
        <w:rPr>
          <w:rFonts w:hint="eastAsia" w:ascii="仿宋_GB2312" w:hAnsi="宋体" w:eastAsia="仿宋_GB2312" w:cs="Times New Roman"/>
          <w:iCs/>
          <w:sz w:val="28"/>
          <w:szCs w:val="28"/>
        </w:rPr>
        <w:t>样品应该贮存在阴凉、干燥、安全、避光处，在整个保存期间应保证签封完整无损。</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6.2.2</w:t>
      </w:r>
      <w:r>
        <w:rPr>
          <w:rFonts w:hint="eastAsia" w:ascii="仿宋_GB2312" w:eastAsia="仿宋_GB2312" w:cs="Sim Sun"/>
          <w:kern w:val="0"/>
          <w:sz w:val="28"/>
          <w:szCs w:val="28"/>
        </w:rPr>
        <w:t>若被检产品明示的质量要求高于或包含本规范中检验项目依据的标准要求时，应按被检产品明示的质量要求判定。</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6.2.3</w:t>
      </w:r>
      <w:r>
        <w:rPr>
          <w:rFonts w:hint="eastAsia" w:ascii="仿宋_GB2312" w:eastAsia="仿宋_GB2312" w:cs="Sim Sun"/>
          <w:kern w:val="0"/>
          <w:sz w:val="28"/>
          <w:szCs w:val="28"/>
        </w:rPr>
        <w:t>若被检产品明示的质量要求低于或缺少本规范中检验项目依据的强制性标准要求时，应按照强制性标准要求判定。</w:t>
      </w:r>
    </w:p>
    <w:p>
      <w:pPr>
        <w:snapToGrid w:val="0"/>
        <w:spacing w:line="360" w:lineRule="auto"/>
        <w:rPr>
          <w:rFonts w:ascii="仿宋_GB2312" w:hAnsi="Calibri" w:eastAsia="仿宋_GB2312" w:cs="Sim Sun"/>
          <w:b/>
          <w:kern w:val="0"/>
          <w:sz w:val="28"/>
          <w:szCs w:val="28"/>
        </w:rPr>
      </w:pPr>
      <w:r>
        <w:rPr>
          <w:rFonts w:hint="eastAsia" w:ascii="仿宋_GB2312" w:hAnsi="Calibri" w:eastAsia="仿宋_GB2312" w:cs="Sim Sun"/>
          <w:b/>
          <w:kern w:val="0"/>
          <w:sz w:val="28"/>
          <w:szCs w:val="28"/>
        </w:rPr>
        <w:t>7 判定原则</w:t>
      </w:r>
    </w:p>
    <w:p>
      <w:pPr>
        <w:snapToGrid w:val="0"/>
        <w:spacing w:line="360" w:lineRule="auto"/>
        <w:ind w:firstLine="560" w:firstLineChars="200"/>
        <w:rPr>
          <w:rFonts w:ascii="仿宋_GB2312" w:hAnsi="Times New Roman" w:eastAsia="仿宋_GB2312" w:cs="Sim Sun"/>
          <w:kern w:val="0"/>
          <w:sz w:val="28"/>
          <w:szCs w:val="28"/>
        </w:rPr>
      </w:pPr>
      <w:r>
        <w:rPr>
          <w:rFonts w:hint="eastAsia" w:ascii="仿宋_GB2312" w:eastAsia="仿宋_GB2312" w:cs="Sim Sun"/>
          <w:kern w:val="0"/>
          <w:sz w:val="28"/>
          <w:szCs w:val="28"/>
        </w:rPr>
        <w:t>经检验，所检样品全部项目合格，判该产品本次监督抽查结果合格；出现一项或一项以上</w:t>
      </w:r>
      <w:r>
        <w:rPr>
          <w:rFonts w:hint="eastAsia" w:ascii="仿宋_GB2312" w:hAnsi="宋体" w:eastAsia="仿宋_GB2312"/>
          <w:sz w:val="28"/>
          <w:szCs w:val="28"/>
        </w:rPr>
        <w:t>项目</w:t>
      </w:r>
      <w:r>
        <w:rPr>
          <w:rFonts w:hint="eastAsia" w:ascii="仿宋_GB2312" w:eastAsia="仿宋_GB2312" w:cs="Sim Sun"/>
          <w:kern w:val="0"/>
          <w:sz w:val="28"/>
          <w:szCs w:val="28"/>
        </w:rPr>
        <w:t>不合格，判该产品本次监督检验结果不合格。</w:t>
      </w:r>
    </w:p>
    <w:p>
      <w:pPr>
        <w:snapToGrid w:val="0"/>
        <w:spacing w:line="360" w:lineRule="auto"/>
        <w:rPr>
          <w:rFonts w:ascii="仿宋_GB2312" w:hAnsi="Calibri" w:eastAsia="仿宋_GB2312" w:cs="Sim Sun"/>
          <w:b/>
          <w:kern w:val="0"/>
          <w:sz w:val="28"/>
          <w:szCs w:val="28"/>
        </w:rPr>
      </w:pPr>
      <w:r>
        <w:rPr>
          <w:rFonts w:hint="eastAsia" w:ascii="仿宋_GB2312" w:hAnsi="Calibri" w:eastAsia="仿宋_GB2312" w:cs="Sim Sun"/>
          <w:b/>
          <w:kern w:val="0"/>
          <w:sz w:val="28"/>
          <w:szCs w:val="28"/>
        </w:rPr>
        <w:t>8 异议处理复检</w:t>
      </w:r>
    </w:p>
    <w:p>
      <w:pPr>
        <w:snapToGrid w:val="0"/>
        <w:spacing w:line="360" w:lineRule="auto"/>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.1</w:t>
      </w:r>
      <w:r>
        <w:rPr>
          <w:rFonts w:hint="eastAsia" w:ascii="仿宋_GB2312" w:eastAsia="仿宋_GB2312" w:cs="Sim Sun"/>
          <w:iCs/>
          <w:kern w:val="0"/>
          <w:sz w:val="28"/>
          <w:szCs w:val="28"/>
        </w:rPr>
        <w:t>被抽查企业在收到检验结果，对结果有异议时，</w:t>
      </w:r>
      <w:r>
        <w:rPr>
          <w:rFonts w:ascii="仿宋_GB2312" w:eastAsia="仿宋_GB2312" w:cs="Sim Sun"/>
          <w:iCs/>
          <w:kern w:val="0"/>
          <w:sz w:val="28"/>
          <w:szCs w:val="28"/>
        </w:rPr>
        <w:t>可以自收到检验结果之日起15日内向</w:t>
      </w:r>
      <w:r>
        <w:rPr>
          <w:rFonts w:hint="eastAsia" w:ascii="仿宋_GB2312" w:eastAsia="仿宋_GB2312" w:cs="Sim Sun"/>
          <w:iCs/>
          <w:kern w:val="0"/>
          <w:sz w:val="28"/>
          <w:szCs w:val="28"/>
        </w:rPr>
        <w:t>深圳市市场监督管理局</w:t>
      </w:r>
      <w:r>
        <w:rPr>
          <w:rFonts w:ascii="仿宋_GB2312" w:eastAsia="仿宋_GB2312" w:cs="Sim Sun"/>
          <w:iCs/>
          <w:kern w:val="0"/>
          <w:sz w:val="28"/>
          <w:szCs w:val="28"/>
        </w:rPr>
        <w:t>提出书面复检申请。逾期未提出异议的，视为承认检验结果。</w:t>
      </w:r>
    </w:p>
    <w:p>
      <w:pPr>
        <w:snapToGrid w:val="0"/>
        <w:spacing w:line="360" w:lineRule="auto"/>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.2</w:t>
      </w:r>
      <w:r>
        <w:rPr>
          <w:rFonts w:ascii="仿宋_GB2312" w:eastAsia="仿宋_GB2312" w:cs="Sim Sun"/>
          <w:iCs/>
          <w:kern w:val="0"/>
          <w:sz w:val="28"/>
          <w:szCs w:val="28"/>
        </w:rPr>
        <w:t>检验机构</w:t>
      </w:r>
      <w:r>
        <w:rPr>
          <w:rFonts w:hint="eastAsia" w:ascii="仿宋_GB2312" w:eastAsia="仿宋_GB2312" w:cs="Sim Sun"/>
          <w:iCs/>
          <w:kern w:val="0"/>
          <w:sz w:val="28"/>
          <w:szCs w:val="28"/>
        </w:rPr>
        <w:t>接到深圳市市场监督管理局的复检通知后</w:t>
      </w:r>
      <w:r>
        <w:rPr>
          <w:rFonts w:ascii="仿宋_GB2312" w:eastAsia="仿宋_GB2312" w:cs="Sim Sun"/>
          <w:iCs/>
          <w:kern w:val="0"/>
          <w:sz w:val="28"/>
          <w:szCs w:val="28"/>
        </w:rPr>
        <w:t>应当按原监督抽查方案</w:t>
      </w:r>
      <w:r>
        <w:rPr>
          <w:rFonts w:hint="eastAsia" w:ascii="仿宋_GB2312" w:eastAsia="仿宋_GB2312" w:cs="Sim Sun"/>
          <w:iCs/>
          <w:kern w:val="0"/>
          <w:sz w:val="28"/>
          <w:szCs w:val="28"/>
        </w:rPr>
        <w:t>，核查不合格项目相关证据，能够以记录（纸质记录或电子记录或影像记录）、或与不合格项目相关联的其它质量数据等检验证据证明，并得到被检方认可的，做出维持原检验结果</w:t>
      </w:r>
      <w:r>
        <w:rPr>
          <w:rFonts w:ascii="仿宋_GB2312" w:eastAsia="仿宋_GB2312" w:cs="Sim Sun"/>
          <w:iCs/>
          <w:kern w:val="0"/>
          <w:sz w:val="28"/>
          <w:szCs w:val="28"/>
        </w:rPr>
        <w:t>的结论。</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8.</w:t>
      </w:r>
      <w:r>
        <w:rPr>
          <w:rFonts w:ascii="仿宋_GB2312" w:eastAsia="仿宋_GB2312" w:cs="Sim Sun"/>
          <w:b/>
          <w:kern w:val="0"/>
          <w:sz w:val="28"/>
          <w:szCs w:val="28"/>
        </w:rPr>
        <w:t>3</w:t>
      </w:r>
      <w:r>
        <w:rPr>
          <w:rFonts w:hint="eastAsia" w:ascii="仿宋_GB2312" w:eastAsia="仿宋_GB2312" w:cs="Sim Sun"/>
          <w:iCs/>
          <w:kern w:val="0"/>
          <w:sz w:val="28"/>
          <w:szCs w:val="28"/>
        </w:rPr>
        <w:t>复验</w:t>
      </w:r>
      <w:r>
        <w:rPr>
          <w:rFonts w:ascii="仿宋_GB2312" w:eastAsia="仿宋_GB2312" w:cs="Sim Sun"/>
          <w:iCs/>
          <w:kern w:val="0"/>
          <w:sz w:val="28"/>
          <w:szCs w:val="28"/>
        </w:rPr>
        <w:t>检验人员与初检检验人员不得为同一人。</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8.4</w:t>
      </w:r>
      <w:r>
        <w:rPr>
          <w:rFonts w:hint="eastAsia" w:ascii="仿宋_GB2312" w:eastAsia="仿宋_GB2312" w:cs="Sim Sun"/>
          <w:kern w:val="0"/>
          <w:sz w:val="28"/>
          <w:szCs w:val="28"/>
        </w:rPr>
        <w:t>需对不合格项目复验时，按6.1选择复检样品。当复检结果仍不合格，维持原检验结果不变。当复检结果合格，以复检结果为准。</w:t>
      </w:r>
    </w:p>
    <w:p>
      <w:pPr>
        <w:snapToGrid w:val="0"/>
        <w:spacing w:line="360" w:lineRule="auto"/>
        <w:rPr>
          <w:rFonts w:ascii="仿宋_GB2312" w:eastAsia="仿宋_GB2312" w:cs="Sim Sun"/>
          <w:iCs/>
          <w:kern w:val="0"/>
          <w:sz w:val="28"/>
          <w:szCs w:val="28"/>
        </w:rPr>
      </w:pPr>
      <w:r>
        <w:rPr>
          <w:rFonts w:hint="eastAsia" w:ascii="仿宋_GB2312" w:eastAsia="仿宋_GB2312" w:cs="Sim Sun"/>
          <w:b/>
          <w:iCs/>
          <w:kern w:val="0"/>
          <w:sz w:val="28"/>
          <w:szCs w:val="28"/>
        </w:rPr>
        <w:t>8.5</w:t>
      </w:r>
      <w:r>
        <w:rPr>
          <w:rFonts w:hint="eastAsia" w:ascii="仿宋_GB2312" w:eastAsia="仿宋_GB2312" w:cs="Sim Sun"/>
          <w:iCs/>
          <w:kern w:val="0"/>
          <w:sz w:val="28"/>
          <w:szCs w:val="28"/>
        </w:rPr>
        <w:t>深圳市市场监督管理局根据初检</w:t>
      </w:r>
      <w:r>
        <w:rPr>
          <w:rFonts w:ascii="仿宋_GB2312" w:eastAsia="仿宋_GB2312" w:cs="Sim Sun"/>
          <w:iCs/>
          <w:kern w:val="0"/>
          <w:sz w:val="28"/>
          <w:szCs w:val="28"/>
        </w:rPr>
        <w:t>、复</w:t>
      </w:r>
      <w:r>
        <w:rPr>
          <w:rFonts w:hint="eastAsia" w:ascii="仿宋_GB2312" w:eastAsia="仿宋_GB2312" w:cs="Sim Sun"/>
          <w:iCs/>
          <w:kern w:val="0"/>
          <w:sz w:val="28"/>
          <w:szCs w:val="28"/>
        </w:rPr>
        <w:t>验</w:t>
      </w:r>
      <w:r>
        <w:rPr>
          <w:rFonts w:ascii="仿宋_GB2312" w:eastAsia="仿宋_GB2312" w:cs="Sim Sun"/>
          <w:iCs/>
          <w:kern w:val="0"/>
          <w:sz w:val="28"/>
          <w:szCs w:val="28"/>
        </w:rPr>
        <w:t>结果及企业提交的</w:t>
      </w:r>
      <w:r>
        <w:rPr>
          <w:rFonts w:hint="eastAsia" w:ascii="仿宋_GB2312" w:eastAsia="仿宋_GB2312" w:cs="Sim Sun"/>
          <w:iCs/>
          <w:kern w:val="0"/>
          <w:sz w:val="28"/>
          <w:szCs w:val="28"/>
        </w:rPr>
        <w:t>证明</w:t>
      </w:r>
      <w:r>
        <w:rPr>
          <w:rFonts w:ascii="仿宋_GB2312" w:eastAsia="仿宋_GB2312" w:cs="Sim Sun"/>
          <w:iCs/>
          <w:kern w:val="0"/>
          <w:sz w:val="28"/>
          <w:szCs w:val="28"/>
        </w:rPr>
        <w:t>材料，做出复检结论</w:t>
      </w:r>
      <w:r>
        <w:rPr>
          <w:rFonts w:hint="eastAsia" w:ascii="仿宋_GB2312" w:eastAsia="仿宋_GB2312" w:cs="Sim Sun"/>
          <w:iCs/>
          <w:kern w:val="0"/>
          <w:sz w:val="28"/>
          <w:szCs w:val="28"/>
        </w:rPr>
        <w:t>，</w:t>
      </w:r>
      <w:r>
        <w:rPr>
          <w:rFonts w:ascii="仿宋_GB2312" w:eastAsia="仿宋_GB2312" w:cs="Sim Sun"/>
          <w:iCs/>
          <w:kern w:val="0"/>
          <w:sz w:val="28"/>
          <w:szCs w:val="28"/>
        </w:rPr>
        <w:t>复检结论为最终结论。</w:t>
      </w:r>
    </w:p>
    <w:p>
      <w:pPr>
        <w:snapToGrid w:val="0"/>
        <w:spacing w:line="360" w:lineRule="auto"/>
        <w:rPr>
          <w:rFonts w:ascii="仿宋_GB2312" w:hAnsi="宋体" w:eastAsia="仿宋_GB2312"/>
          <w:b/>
          <w:sz w:val="28"/>
          <w:szCs w:val="28"/>
        </w:rPr>
      </w:pPr>
      <w:r>
        <w:rPr>
          <w:rFonts w:ascii="仿宋_GB2312" w:hAnsi="宋体" w:eastAsia="仿宋_GB2312"/>
          <w:b/>
          <w:sz w:val="28"/>
          <w:szCs w:val="28"/>
        </w:rPr>
        <w:t>9</w:t>
      </w:r>
      <w:r>
        <w:rPr>
          <w:rFonts w:hint="eastAsia" w:ascii="仿宋_GB2312" w:hAnsi="宋体" w:eastAsia="仿宋_GB2312"/>
          <w:b/>
          <w:sz w:val="28"/>
          <w:szCs w:val="28"/>
        </w:rPr>
        <w:t xml:space="preserve"> 附则</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本规范编制单位：</w:t>
      </w:r>
      <w:r>
        <w:rPr>
          <w:rFonts w:hint="eastAsia" w:ascii="仿宋_GB2312" w:eastAsia="仿宋_GB2312"/>
          <w:sz w:val="28"/>
          <w:szCs w:val="28"/>
        </w:rPr>
        <w:t>深圳市计量质量检测研究院</w:t>
      </w:r>
      <w:r>
        <w:rPr>
          <w:rFonts w:hint="eastAsia" w:ascii="仿宋_GB2312" w:hAnsi="宋体" w:eastAsia="仿宋_GB2312"/>
          <w:sz w:val="28"/>
          <w:szCs w:val="28"/>
        </w:rPr>
        <w:t>。</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本规范由</w:t>
      </w:r>
      <w:r>
        <w:rPr>
          <w:rFonts w:hint="eastAsia" w:ascii="仿宋_GB2312" w:hAnsi="宋体" w:eastAsia="仿宋_GB2312"/>
          <w:iCs/>
          <w:sz w:val="28"/>
          <w:szCs w:val="28"/>
        </w:rPr>
        <w:t>深圳市市场监督管理局质量处</w:t>
      </w:r>
      <w:r>
        <w:rPr>
          <w:rFonts w:hint="eastAsia" w:ascii="仿宋_GB2312" w:hAnsi="宋体" w:eastAsia="仿宋_GB2312"/>
          <w:sz w:val="28"/>
          <w:szCs w:val="28"/>
        </w:rPr>
        <w:t>管理。</w:t>
      </w:r>
    </w:p>
    <w:p>
      <w:pPr>
        <w:snapToGrid w:val="0"/>
        <w:spacing w:line="360" w:lineRule="auto"/>
        <w:ind w:firstLine="537" w:firstLineChars="192"/>
        <w:rPr>
          <w:rFonts w:ascii="仿宋_GB2312" w:hAnsi="宋体" w:eastAsia="仿宋_GB2312"/>
          <w:sz w:val="28"/>
          <w:szCs w:val="28"/>
        </w:rPr>
      </w:pPr>
    </w:p>
    <w:p>
      <w:pPr>
        <w:widowControl/>
        <w:jc w:val="left"/>
      </w:pPr>
      <w:bookmarkStart w:id="1" w:name="_GoBack"/>
      <w:bookmarkEnd w:id="1"/>
    </w:p>
    <w:sectPr>
      <w:headerReference r:id="rId4" w:type="first"/>
      <w:headerReference r:id="rId3" w:type="default"/>
      <w:footerReference r:id="rId5" w:type="default"/>
      <w:pgSz w:w="11906" w:h="16838"/>
      <w:pgMar w:top="1588" w:right="1474" w:bottom="1588"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 w:name="Sim Sun">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90137"/>
    </w:sdtPr>
    <w:sdtContent>
      <w:p>
        <w:pPr>
          <w:pStyle w:val="9"/>
          <w:jc w:val="center"/>
        </w:pPr>
        <w:r>
          <w:fldChar w:fldCharType="begin"/>
        </w:r>
        <w:r>
          <w:instrText xml:space="preserve"> PAGE   \* MERGEFORMAT </w:instrText>
        </w:r>
        <w:r>
          <w:fldChar w:fldCharType="separate"/>
        </w:r>
        <w:r>
          <w:rPr>
            <w:lang w:val="zh-CN"/>
          </w:rPr>
          <w:t>15</w:t>
        </w:r>
        <w:r>
          <w:rPr>
            <w:lang w:val="zh-CN"/>
          </w:rPr>
          <w:fldChar w:fldCharType="end"/>
        </w:r>
      </w:p>
    </w:sdtContent>
  </w:sdt>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b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352D"/>
    <w:rsid w:val="00010B2B"/>
    <w:rsid w:val="00021174"/>
    <w:rsid w:val="00035F52"/>
    <w:rsid w:val="000544FB"/>
    <w:rsid w:val="000574C2"/>
    <w:rsid w:val="00066D24"/>
    <w:rsid w:val="000808EB"/>
    <w:rsid w:val="00082F6C"/>
    <w:rsid w:val="00083804"/>
    <w:rsid w:val="00085E89"/>
    <w:rsid w:val="00094052"/>
    <w:rsid w:val="00097B4A"/>
    <w:rsid w:val="000A0D78"/>
    <w:rsid w:val="000B4AC5"/>
    <w:rsid w:val="000B7908"/>
    <w:rsid w:val="000C351E"/>
    <w:rsid w:val="000D0FB9"/>
    <w:rsid w:val="000D19AE"/>
    <w:rsid w:val="000D4527"/>
    <w:rsid w:val="000F3A77"/>
    <w:rsid w:val="001137FD"/>
    <w:rsid w:val="00117617"/>
    <w:rsid w:val="0013796D"/>
    <w:rsid w:val="00140A32"/>
    <w:rsid w:val="00147659"/>
    <w:rsid w:val="001511F4"/>
    <w:rsid w:val="00160483"/>
    <w:rsid w:val="00165028"/>
    <w:rsid w:val="001773E8"/>
    <w:rsid w:val="00177536"/>
    <w:rsid w:val="00192A52"/>
    <w:rsid w:val="001B7D05"/>
    <w:rsid w:val="001C4D4A"/>
    <w:rsid w:val="001C6824"/>
    <w:rsid w:val="001D3F79"/>
    <w:rsid w:val="001D45D9"/>
    <w:rsid w:val="001E0132"/>
    <w:rsid w:val="001F37C3"/>
    <w:rsid w:val="001F69A2"/>
    <w:rsid w:val="001F7AF5"/>
    <w:rsid w:val="0021310D"/>
    <w:rsid w:val="00215673"/>
    <w:rsid w:val="00220300"/>
    <w:rsid w:val="00222ED8"/>
    <w:rsid w:val="00226896"/>
    <w:rsid w:val="00237C28"/>
    <w:rsid w:val="00240B9F"/>
    <w:rsid w:val="00245EBE"/>
    <w:rsid w:val="002466FC"/>
    <w:rsid w:val="00251885"/>
    <w:rsid w:val="002735B2"/>
    <w:rsid w:val="002853EF"/>
    <w:rsid w:val="0029034B"/>
    <w:rsid w:val="002A1D4C"/>
    <w:rsid w:val="002A244D"/>
    <w:rsid w:val="002C01D5"/>
    <w:rsid w:val="002C5BBA"/>
    <w:rsid w:val="002C6F48"/>
    <w:rsid w:val="002D02E5"/>
    <w:rsid w:val="002D1370"/>
    <w:rsid w:val="002E4EE0"/>
    <w:rsid w:val="003217DC"/>
    <w:rsid w:val="00324791"/>
    <w:rsid w:val="00325F1E"/>
    <w:rsid w:val="00327A52"/>
    <w:rsid w:val="00342D4A"/>
    <w:rsid w:val="0036562C"/>
    <w:rsid w:val="00393289"/>
    <w:rsid w:val="003B64B4"/>
    <w:rsid w:val="003C666B"/>
    <w:rsid w:val="003D0589"/>
    <w:rsid w:val="003D4FC0"/>
    <w:rsid w:val="003E0315"/>
    <w:rsid w:val="003E0BBE"/>
    <w:rsid w:val="003E205A"/>
    <w:rsid w:val="003F7E16"/>
    <w:rsid w:val="00400084"/>
    <w:rsid w:val="00412E65"/>
    <w:rsid w:val="004246BD"/>
    <w:rsid w:val="00424AF7"/>
    <w:rsid w:val="00427179"/>
    <w:rsid w:val="00433BAF"/>
    <w:rsid w:val="004340AF"/>
    <w:rsid w:val="00442803"/>
    <w:rsid w:val="00451A9C"/>
    <w:rsid w:val="00465617"/>
    <w:rsid w:val="004666CA"/>
    <w:rsid w:val="004677B8"/>
    <w:rsid w:val="0047372B"/>
    <w:rsid w:val="00477253"/>
    <w:rsid w:val="00483FCA"/>
    <w:rsid w:val="004A2CC3"/>
    <w:rsid w:val="004A3B32"/>
    <w:rsid w:val="004A4C6D"/>
    <w:rsid w:val="004A51C4"/>
    <w:rsid w:val="004B13D5"/>
    <w:rsid w:val="004C1334"/>
    <w:rsid w:val="004E3161"/>
    <w:rsid w:val="004E7D91"/>
    <w:rsid w:val="004F3CDC"/>
    <w:rsid w:val="004F5236"/>
    <w:rsid w:val="00517BA0"/>
    <w:rsid w:val="0052702E"/>
    <w:rsid w:val="00532793"/>
    <w:rsid w:val="005421D3"/>
    <w:rsid w:val="00544B94"/>
    <w:rsid w:val="0057319E"/>
    <w:rsid w:val="005743D8"/>
    <w:rsid w:val="00576305"/>
    <w:rsid w:val="00576E39"/>
    <w:rsid w:val="00581D59"/>
    <w:rsid w:val="00587B84"/>
    <w:rsid w:val="0059287A"/>
    <w:rsid w:val="005B1BEC"/>
    <w:rsid w:val="005B53BE"/>
    <w:rsid w:val="005C22CA"/>
    <w:rsid w:val="005C729C"/>
    <w:rsid w:val="005D6894"/>
    <w:rsid w:val="005D6AAA"/>
    <w:rsid w:val="005D772E"/>
    <w:rsid w:val="005E2686"/>
    <w:rsid w:val="0060418B"/>
    <w:rsid w:val="0064633A"/>
    <w:rsid w:val="0064797C"/>
    <w:rsid w:val="0066548E"/>
    <w:rsid w:val="00671601"/>
    <w:rsid w:val="00673DCF"/>
    <w:rsid w:val="006740E3"/>
    <w:rsid w:val="00675472"/>
    <w:rsid w:val="00676815"/>
    <w:rsid w:val="00680954"/>
    <w:rsid w:val="006A1D3E"/>
    <w:rsid w:val="006B0668"/>
    <w:rsid w:val="006B70EF"/>
    <w:rsid w:val="006C3325"/>
    <w:rsid w:val="006D0E71"/>
    <w:rsid w:val="006D583B"/>
    <w:rsid w:val="006E1978"/>
    <w:rsid w:val="006E27B3"/>
    <w:rsid w:val="006E68D1"/>
    <w:rsid w:val="006F28DA"/>
    <w:rsid w:val="006F6934"/>
    <w:rsid w:val="00704145"/>
    <w:rsid w:val="00710308"/>
    <w:rsid w:val="00711DD2"/>
    <w:rsid w:val="00742EDA"/>
    <w:rsid w:val="007434FA"/>
    <w:rsid w:val="00743EB4"/>
    <w:rsid w:val="0076203D"/>
    <w:rsid w:val="007723FC"/>
    <w:rsid w:val="007768E4"/>
    <w:rsid w:val="00776E2E"/>
    <w:rsid w:val="00780A15"/>
    <w:rsid w:val="007921A8"/>
    <w:rsid w:val="007B3D12"/>
    <w:rsid w:val="007E4695"/>
    <w:rsid w:val="007F2737"/>
    <w:rsid w:val="007F3B51"/>
    <w:rsid w:val="00835867"/>
    <w:rsid w:val="00852C5E"/>
    <w:rsid w:val="0085367E"/>
    <w:rsid w:val="00854C7D"/>
    <w:rsid w:val="00855868"/>
    <w:rsid w:val="008628E5"/>
    <w:rsid w:val="00864A08"/>
    <w:rsid w:val="00866E1E"/>
    <w:rsid w:val="0087352D"/>
    <w:rsid w:val="00886BC3"/>
    <w:rsid w:val="008A7B4F"/>
    <w:rsid w:val="008B2623"/>
    <w:rsid w:val="008C2C9D"/>
    <w:rsid w:val="008D1316"/>
    <w:rsid w:val="008D1C8D"/>
    <w:rsid w:val="008D72E5"/>
    <w:rsid w:val="008D74C8"/>
    <w:rsid w:val="008D7C11"/>
    <w:rsid w:val="008E4B67"/>
    <w:rsid w:val="008F3C63"/>
    <w:rsid w:val="00905230"/>
    <w:rsid w:val="00906398"/>
    <w:rsid w:val="00914B79"/>
    <w:rsid w:val="00916FD6"/>
    <w:rsid w:val="00924180"/>
    <w:rsid w:val="009353AC"/>
    <w:rsid w:val="00936EBD"/>
    <w:rsid w:val="0095143C"/>
    <w:rsid w:val="00991C0F"/>
    <w:rsid w:val="009A6427"/>
    <w:rsid w:val="009A6696"/>
    <w:rsid w:val="009A72F5"/>
    <w:rsid w:val="009B0175"/>
    <w:rsid w:val="009C7665"/>
    <w:rsid w:val="009D1525"/>
    <w:rsid w:val="009D3415"/>
    <w:rsid w:val="009E1A51"/>
    <w:rsid w:val="00A14EBF"/>
    <w:rsid w:val="00A17997"/>
    <w:rsid w:val="00A36F1E"/>
    <w:rsid w:val="00A41A68"/>
    <w:rsid w:val="00A57476"/>
    <w:rsid w:val="00A6397B"/>
    <w:rsid w:val="00A72E5F"/>
    <w:rsid w:val="00AA2557"/>
    <w:rsid w:val="00AA437A"/>
    <w:rsid w:val="00AA4B40"/>
    <w:rsid w:val="00AB00BE"/>
    <w:rsid w:val="00AB0EE2"/>
    <w:rsid w:val="00AB3646"/>
    <w:rsid w:val="00AD41D2"/>
    <w:rsid w:val="00AE4687"/>
    <w:rsid w:val="00AE6A3C"/>
    <w:rsid w:val="00B116D1"/>
    <w:rsid w:val="00B317CA"/>
    <w:rsid w:val="00B36AE8"/>
    <w:rsid w:val="00B37AEA"/>
    <w:rsid w:val="00B454FF"/>
    <w:rsid w:val="00B52C22"/>
    <w:rsid w:val="00B548D4"/>
    <w:rsid w:val="00B72375"/>
    <w:rsid w:val="00B77217"/>
    <w:rsid w:val="00B840F7"/>
    <w:rsid w:val="00B9577C"/>
    <w:rsid w:val="00BA0657"/>
    <w:rsid w:val="00BA40DB"/>
    <w:rsid w:val="00BB3F66"/>
    <w:rsid w:val="00BB4B4F"/>
    <w:rsid w:val="00BD6780"/>
    <w:rsid w:val="00BE128B"/>
    <w:rsid w:val="00BE3D66"/>
    <w:rsid w:val="00C04FC9"/>
    <w:rsid w:val="00C13693"/>
    <w:rsid w:val="00C13F86"/>
    <w:rsid w:val="00C152E8"/>
    <w:rsid w:val="00C15335"/>
    <w:rsid w:val="00C16673"/>
    <w:rsid w:val="00C42655"/>
    <w:rsid w:val="00C44822"/>
    <w:rsid w:val="00C5760C"/>
    <w:rsid w:val="00C91CE2"/>
    <w:rsid w:val="00C935D0"/>
    <w:rsid w:val="00CA65CD"/>
    <w:rsid w:val="00CC351F"/>
    <w:rsid w:val="00CC5DC3"/>
    <w:rsid w:val="00CC75EF"/>
    <w:rsid w:val="00CC7E44"/>
    <w:rsid w:val="00CD290A"/>
    <w:rsid w:val="00CD599A"/>
    <w:rsid w:val="00CE737D"/>
    <w:rsid w:val="00CF1154"/>
    <w:rsid w:val="00CF4D8B"/>
    <w:rsid w:val="00D00862"/>
    <w:rsid w:val="00D05C88"/>
    <w:rsid w:val="00D16532"/>
    <w:rsid w:val="00D32A3E"/>
    <w:rsid w:val="00D32CC9"/>
    <w:rsid w:val="00D35FB7"/>
    <w:rsid w:val="00D54DD1"/>
    <w:rsid w:val="00D671D2"/>
    <w:rsid w:val="00D851BD"/>
    <w:rsid w:val="00D9013C"/>
    <w:rsid w:val="00D93CB6"/>
    <w:rsid w:val="00DA123D"/>
    <w:rsid w:val="00DA595F"/>
    <w:rsid w:val="00DA6A0C"/>
    <w:rsid w:val="00DC4635"/>
    <w:rsid w:val="00DD087F"/>
    <w:rsid w:val="00DD1CDC"/>
    <w:rsid w:val="00DD2244"/>
    <w:rsid w:val="00DD6502"/>
    <w:rsid w:val="00DE4AB3"/>
    <w:rsid w:val="00DE5383"/>
    <w:rsid w:val="00DF0C6E"/>
    <w:rsid w:val="00DF4FDC"/>
    <w:rsid w:val="00E006D7"/>
    <w:rsid w:val="00E009EE"/>
    <w:rsid w:val="00E25529"/>
    <w:rsid w:val="00E51318"/>
    <w:rsid w:val="00E57BBD"/>
    <w:rsid w:val="00E63375"/>
    <w:rsid w:val="00E74950"/>
    <w:rsid w:val="00E864E5"/>
    <w:rsid w:val="00E8748E"/>
    <w:rsid w:val="00E92A90"/>
    <w:rsid w:val="00E9617D"/>
    <w:rsid w:val="00EA1669"/>
    <w:rsid w:val="00EA4320"/>
    <w:rsid w:val="00EB0A44"/>
    <w:rsid w:val="00ED594B"/>
    <w:rsid w:val="00EE2C6D"/>
    <w:rsid w:val="00EF65A1"/>
    <w:rsid w:val="00F02178"/>
    <w:rsid w:val="00F04C31"/>
    <w:rsid w:val="00F0520B"/>
    <w:rsid w:val="00F070F8"/>
    <w:rsid w:val="00F168D9"/>
    <w:rsid w:val="00F1736B"/>
    <w:rsid w:val="00F329CE"/>
    <w:rsid w:val="00F5751A"/>
    <w:rsid w:val="00F61DF0"/>
    <w:rsid w:val="00F71D43"/>
    <w:rsid w:val="00F74BEA"/>
    <w:rsid w:val="00F82D14"/>
    <w:rsid w:val="00F8594A"/>
    <w:rsid w:val="00F92FA8"/>
    <w:rsid w:val="00F96F4B"/>
    <w:rsid w:val="00FA0C02"/>
    <w:rsid w:val="00FA4DC9"/>
    <w:rsid w:val="00FA7641"/>
    <w:rsid w:val="00FC6913"/>
    <w:rsid w:val="00FE1E2B"/>
    <w:rsid w:val="00FE302F"/>
    <w:rsid w:val="00FE73FE"/>
    <w:rsid w:val="00FF5A17"/>
    <w:rsid w:val="2BC52C6D"/>
    <w:rsid w:val="3DF725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33"/>
    <w:unhideWhenUsed/>
    <w:uiPriority w:val="99"/>
    <w:rPr>
      <w:rFonts w:asciiTheme="minorHAnsi" w:hAnsiTheme="minorHAnsi" w:eastAsiaTheme="minorEastAsia" w:cstheme="minorBidi"/>
      <w:b/>
      <w:bCs/>
      <w:szCs w:val="22"/>
    </w:rPr>
  </w:style>
  <w:style w:type="paragraph" w:styleId="3">
    <w:name w:val="annotation text"/>
    <w:basedOn w:val="1"/>
    <w:link w:val="28"/>
    <w:uiPriority w:val="0"/>
    <w:pPr>
      <w:jc w:val="left"/>
    </w:pPr>
    <w:rPr>
      <w:rFonts w:ascii="Times New Roman" w:hAnsi="Times New Roman" w:eastAsia="宋体" w:cs="Times New Roman"/>
      <w:szCs w:val="24"/>
    </w:rPr>
  </w:style>
  <w:style w:type="paragraph" w:styleId="4">
    <w:name w:val="Body Text Indent"/>
    <w:basedOn w:val="1"/>
    <w:link w:val="22"/>
    <w:qFormat/>
    <w:uiPriority w:val="0"/>
    <w:pPr>
      <w:widowControl/>
      <w:spacing w:before="50" w:after="120" w:line="240" w:lineRule="exact"/>
      <w:ind w:firstLine="480" w:firstLineChars="200"/>
      <w:jc w:val="left"/>
    </w:pPr>
    <w:rPr>
      <w:rFonts w:ascii="Times New Roman" w:hAnsi="Times New Roman" w:eastAsia="宋体" w:cs="Times New Roman"/>
      <w:kern w:val="0"/>
      <w:sz w:val="24"/>
      <w:szCs w:val="20"/>
    </w:rPr>
  </w:style>
  <w:style w:type="paragraph" w:styleId="5">
    <w:name w:val="Plain Text"/>
    <w:basedOn w:val="1"/>
    <w:link w:val="25"/>
    <w:qFormat/>
    <w:uiPriority w:val="0"/>
    <w:rPr>
      <w:rFonts w:ascii="宋体" w:hAnsi="Courier New" w:eastAsia="宋体" w:cs="Times New Roman"/>
      <w:szCs w:val="21"/>
    </w:rPr>
  </w:style>
  <w:style w:type="paragraph" w:styleId="6">
    <w:name w:val="Date"/>
    <w:basedOn w:val="1"/>
    <w:next w:val="1"/>
    <w:link w:val="34"/>
    <w:unhideWhenUsed/>
    <w:uiPriority w:val="99"/>
    <w:pPr>
      <w:ind w:left="100" w:leftChars="2500"/>
    </w:pPr>
  </w:style>
  <w:style w:type="paragraph" w:styleId="7">
    <w:name w:val="Body Text Indent 2"/>
    <w:basedOn w:val="1"/>
    <w:link w:val="26"/>
    <w:uiPriority w:val="0"/>
    <w:pPr>
      <w:spacing w:after="120" w:line="480" w:lineRule="auto"/>
      <w:ind w:left="420" w:leftChars="200"/>
    </w:pPr>
    <w:rPr>
      <w:rFonts w:ascii="Times New Roman" w:hAnsi="Times New Roman" w:eastAsia="宋体" w:cs="Times New Roman"/>
      <w:szCs w:val="24"/>
    </w:rPr>
  </w:style>
  <w:style w:type="paragraph" w:styleId="8">
    <w:name w:val="Balloon Text"/>
    <w:basedOn w:val="1"/>
    <w:link w:val="23"/>
    <w:semiHidden/>
    <w:qFormat/>
    <w:uiPriority w:val="0"/>
    <w:rPr>
      <w:rFonts w:ascii="Times New Roman" w:hAnsi="Times New Roman" w:eastAsia="宋体" w:cs="Times New Roman"/>
      <w:sz w:val="18"/>
      <w:szCs w:val="18"/>
    </w:rPr>
  </w:style>
  <w:style w:type="paragraph" w:styleId="9">
    <w:name w:val="footer"/>
    <w:basedOn w:val="1"/>
    <w:link w:val="19"/>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link w:val="20"/>
    <w:qFormat/>
    <w:uiPriority w:val="99"/>
    <w:pPr>
      <w:tabs>
        <w:tab w:val="center" w:pos="4153"/>
        <w:tab w:val="right" w:pos="8306"/>
      </w:tabs>
      <w:snapToGrid w:val="0"/>
      <w:jc w:val="center"/>
    </w:pPr>
    <w:rPr>
      <w:rFonts w:cs="Times New Roman" w:asciiTheme="majorEastAsia" w:hAnsiTheme="majorEastAsia" w:eastAsiaTheme="majorEastAsia"/>
      <w:b/>
      <w:szCs w:val="21"/>
    </w:rPr>
  </w:style>
  <w:style w:type="paragraph" w:styleId="11">
    <w:name w:val="Body Text Indent 3"/>
    <w:basedOn w:val="1"/>
    <w:link w:val="27"/>
    <w:qFormat/>
    <w:uiPriority w:val="0"/>
    <w:pPr>
      <w:spacing w:after="120"/>
      <w:ind w:left="420" w:leftChars="200"/>
    </w:pPr>
    <w:rPr>
      <w:rFonts w:ascii="Times New Roman" w:hAnsi="Times New Roman" w:eastAsia="宋体" w:cs="Times New Roman"/>
      <w:sz w:val="16"/>
      <w:szCs w:val="16"/>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page number"/>
    <w:basedOn w:val="13"/>
    <w:qFormat/>
    <w:uiPriority w:val="0"/>
  </w:style>
  <w:style w:type="character" w:styleId="16">
    <w:name w:val="annotation reference"/>
    <w:basedOn w:val="13"/>
    <w:qFormat/>
    <w:uiPriority w:val="0"/>
    <w:rPr>
      <w:sz w:val="21"/>
      <w:szCs w:val="21"/>
    </w:rPr>
  </w:style>
  <w:style w:type="table" w:styleId="18">
    <w:name w:val="Table Grid"/>
    <w:basedOn w:val="1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页脚 Char"/>
    <w:basedOn w:val="13"/>
    <w:link w:val="9"/>
    <w:qFormat/>
    <w:uiPriority w:val="99"/>
    <w:rPr>
      <w:rFonts w:ascii="Times New Roman" w:hAnsi="Times New Roman" w:eastAsia="宋体" w:cs="Times New Roman"/>
      <w:sz w:val="18"/>
      <w:szCs w:val="18"/>
    </w:rPr>
  </w:style>
  <w:style w:type="character" w:customStyle="1" w:styleId="20">
    <w:name w:val="页眉 Char"/>
    <w:basedOn w:val="13"/>
    <w:link w:val="10"/>
    <w:qFormat/>
    <w:uiPriority w:val="99"/>
    <w:rPr>
      <w:rFonts w:cs="Times New Roman" w:asciiTheme="majorEastAsia" w:hAnsiTheme="majorEastAsia" w:eastAsiaTheme="majorEastAsia"/>
      <w:b/>
      <w:szCs w:val="21"/>
    </w:rPr>
  </w:style>
  <w:style w:type="paragraph" w:customStyle="1" w:styleId="21">
    <w:name w:val="公文"/>
    <w:basedOn w:val="1"/>
    <w:qFormat/>
    <w:uiPriority w:val="0"/>
    <w:pPr>
      <w:widowControl/>
      <w:adjustRightInd w:val="0"/>
      <w:snapToGrid w:val="0"/>
      <w:spacing w:beforeLines="25" w:afterLines="35"/>
      <w:ind w:firstLine="200" w:firstLineChars="200"/>
      <w:jc w:val="left"/>
    </w:pPr>
    <w:rPr>
      <w:rFonts w:ascii="仿宋_GB2312" w:hAnsi="Times New Roman" w:eastAsia="仿宋_GB2312" w:cs="Times New Roman"/>
      <w:bCs/>
      <w:kern w:val="0"/>
      <w:sz w:val="32"/>
      <w:szCs w:val="24"/>
    </w:rPr>
  </w:style>
  <w:style w:type="character" w:customStyle="1" w:styleId="22">
    <w:name w:val="正文文本缩进 Char"/>
    <w:basedOn w:val="13"/>
    <w:link w:val="4"/>
    <w:qFormat/>
    <w:uiPriority w:val="0"/>
    <w:rPr>
      <w:rFonts w:ascii="Times New Roman" w:hAnsi="Times New Roman" w:eastAsia="宋体" w:cs="Times New Roman"/>
      <w:kern w:val="0"/>
      <w:sz w:val="24"/>
      <w:szCs w:val="20"/>
    </w:rPr>
  </w:style>
  <w:style w:type="character" w:customStyle="1" w:styleId="23">
    <w:name w:val="批注框文本 Char"/>
    <w:basedOn w:val="13"/>
    <w:link w:val="8"/>
    <w:semiHidden/>
    <w:qFormat/>
    <w:uiPriority w:val="0"/>
    <w:rPr>
      <w:rFonts w:ascii="Times New Roman" w:hAnsi="Times New Roman" w:eastAsia="宋体" w:cs="Times New Roman"/>
      <w:sz w:val="18"/>
      <w:szCs w:val="18"/>
    </w:rPr>
  </w:style>
  <w:style w:type="paragraph" w:customStyle="1" w:styleId="24">
    <w:name w:val="Char1"/>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character" w:customStyle="1" w:styleId="25">
    <w:name w:val="纯文本 Char"/>
    <w:basedOn w:val="13"/>
    <w:link w:val="5"/>
    <w:qFormat/>
    <w:uiPriority w:val="0"/>
    <w:rPr>
      <w:rFonts w:ascii="宋体" w:hAnsi="Courier New" w:eastAsia="宋体" w:cs="Times New Roman"/>
      <w:szCs w:val="21"/>
    </w:rPr>
  </w:style>
  <w:style w:type="character" w:customStyle="1" w:styleId="26">
    <w:name w:val="正文文本缩进 2 Char"/>
    <w:basedOn w:val="13"/>
    <w:link w:val="7"/>
    <w:qFormat/>
    <w:uiPriority w:val="0"/>
    <w:rPr>
      <w:rFonts w:ascii="Times New Roman" w:hAnsi="Times New Roman" w:eastAsia="宋体" w:cs="Times New Roman"/>
      <w:szCs w:val="24"/>
    </w:rPr>
  </w:style>
  <w:style w:type="character" w:customStyle="1" w:styleId="27">
    <w:name w:val="正文文本缩进 3 Char"/>
    <w:basedOn w:val="13"/>
    <w:link w:val="11"/>
    <w:qFormat/>
    <w:uiPriority w:val="0"/>
    <w:rPr>
      <w:rFonts w:ascii="Times New Roman" w:hAnsi="Times New Roman" w:eastAsia="宋体" w:cs="Times New Roman"/>
      <w:sz w:val="16"/>
      <w:szCs w:val="16"/>
    </w:rPr>
  </w:style>
  <w:style w:type="character" w:customStyle="1" w:styleId="28">
    <w:name w:val="批注文字 Char"/>
    <w:basedOn w:val="13"/>
    <w:link w:val="3"/>
    <w:qFormat/>
    <w:uiPriority w:val="0"/>
    <w:rPr>
      <w:rFonts w:ascii="Times New Roman" w:hAnsi="Times New Roman" w:eastAsia="宋体" w:cs="Times New Roman"/>
      <w:szCs w:val="24"/>
    </w:rPr>
  </w:style>
  <w:style w:type="paragraph" w:customStyle="1" w:styleId="29">
    <w:name w:val="表格"/>
    <w:basedOn w:val="1"/>
    <w:link w:val="30"/>
    <w:qFormat/>
    <w:uiPriority w:val="0"/>
    <w:pPr>
      <w:adjustRightInd w:val="0"/>
      <w:snapToGrid w:val="0"/>
      <w:jc w:val="center"/>
    </w:pPr>
    <w:rPr>
      <w:rFonts w:ascii="仿宋_GB2312" w:hAnsi="Times New Roman" w:eastAsia="宋体" w:cs="Times New Roman"/>
      <w:color w:val="000000"/>
      <w:kern w:val="0"/>
      <w:szCs w:val="24"/>
    </w:rPr>
  </w:style>
  <w:style w:type="character" w:customStyle="1" w:styleId="30">
    <w:name w:val="表格 Char"/>
    <w:link w:val="29"/>
    <w:qFormat/>
    <w:uiPriority w:val="0"/>
    <w:rPr>
      <w:rFonts w:ascii="仿宋_GB2312" w:hAnsi="Times New Roman" w:eastAsia="宋体" w:cs="Times New Roman"/>
      <w:color w:val="000000"/>
      <w:kern w:val="0"/>
      <w:szCs w:val="24"/>
    </w:rPr>
  </w:style>
  <w:style w:type="paragraph" w:customStyle="1" w:styleId="31">
    <w:name w:val="列出段落1"/>
    <w:basedOn w:val="1"/>
    <w:qFormat/>
    <w:uiPriority w:val="34"/>
    <w:pPr>
      <w:ind w:firstLine="420" w:firstLineChars="200"/>
    </w:pPr>
    <w:rPr>
      <w:rFonts w:ascii="Times New Roman" w:hAnsi="Times New Roman" w:eastAsia="宋体" w:cs="Times New Roman"/>
      <w:szCs w:val="24"/>
    </w:rPr>
  </w:style>
  <w:style w:type="paragraph" w:customStyle="1" w:styleId="32">
    <w:name w:val="p0"/>
    <w:basedOn w:val="1"/>
    <w:qFormat/>
    <w:uiPriority w:val="0"/>
    <w:pPr>
      <w:widowControl/>
    </w:pPr>
    <w:rPr>
      <w:rFonts w:ascii="Times New Roman" w:hAnsi="Times New Roman" w:eastAsia="宋体" w:cs="Times New Roman"/>
      <w:kern w:val="0"/>
      <w:szCs w:val="21"/>
    </w:rPr>
  </w:style>
  <w:style w:type="character" w:customStyle="1" w:styleId="33">
    <w:name w:val="批注主题 Char"/>
    <w:basedOn w:val="28"/>
    <w:link w:val="2"/>
    <w:semiHidden/>
    <w:qFormat/>
    <w:uiPriority w:val="99"/>
    <w:rPr>
      <w:rFonts w:ascii="Times New Roman" w:hAnsi="Times New Roman" w:eastAsia="宋体" w:cs="Times New Roman"/>
      <w:b/>
      <w:bCs/>
      <w:szCs w:val="24"/>
    </w:rPr>
  </w:style>
  <w:style w:type="character" w:customStyle="1" w:styleId="34">
    <w:name w:val="日期 Char"/>
    <w:basedOn w:val="13"/>
    <w:link w:val="6"/>
    <w:semiHidden/>
    <w:uiPriority w:val="99"/>
  </w:style>
  <w:style w:type="character" w:customStyle="1" w:styleId="35">
    <w:name w:val="apple-converted-space"/>
    <w:basedOn w:val="13"/>
    <w:qFormat/>
    <w:uiPriority w:val="0"/>
  </w:style>
  <w:style w:type="character" w:customStyle="1" w:styleId="36">
    <w:name w:val="fontstyle01"/>
    <w:basedOn w:val="13"/>
    <w:qFormat/>
    <w:uiPriority w:val="0"/>
    <w:rPr>
      <w:rFonts w:hint="eastAsia" w:ascii="黑体" w:hAnsi="黑体" w:eastAsia="黑体"/>
      <w:color w:val="000000"/>
      <w:sz w:val="22"/>
      <w:szCs w:val="22"/>
    </w:rPr>
  </w:style>
  <w:style w:type="character" w:customStyle="1" w:styleId="37">
    <w:name w:val="fontstyle21"/>
    <w:basedOn w:val="13"/>
    <w:uiPriority w:val="0"/>
    <w:rPr>
      <w:rFonts w:hint="default" w:ascii="TimesNewRomanPSMT" w:hAnsi="TimesNewRomanPSMT"/>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5D6B9D-BED7-44D5-944E-765A7B3FF2F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1215</Words>
  <Characters>6931</Characters>
  <Lines>57</Lines>
  <Paragraphs>16</Paragraphs>
  <TotalTime>0</TotalTime>
  <ScaleCrop>false</ScaleCrop>
  <LinksUpToDate>false</LinksUpToDate>
  <CharactersWithSpaces>8130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2019-01-11T06:21:00Z</dcterms:created>
  <dc:creator>张嘉欢</dc:creator>
  <cp:lastModifiedBy>常孟园</cp:lastModifiedBy>
  <dcterms:modified xsi:type="dcterms:W3CDTF">2019-05-23T03:08:03Z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