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深圳市市场监督管理局</w:t>
      </w:r>
    </w:p>
    <w:p>
      <w:pPr>
        <w:spacing w:before="234"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投影机产品质量监督抽查实施规范</w:t>
      </w:r>
    </w:p>
    <w:p>
      <w:pPr>
        <w:spacing w:before="234" w:beforeLines="75" w:line="360" w:lineRule="auto"/>
        <w:jc w:val="center"/>
        <w:rPr>
          <w:rFonts w:ascii="黑体" w:hAnsi="黑体" w:eastAsia="黑体"/>
          <w:color w:val="000000" w:themeColor="text1"/>
          <w:sz w:val="28"/>
        </w:rPr>
      </w:pPr>
      <w:r>
        <w:rPr>
          <w:rFonts w:hint="eastAsia" w:ascii="黑体" w:hAnsi="黑体" w:eastAsia="黑体"/>
          <w:color w:val="000000" w:themeColor="text1"/>
          <w:sz w:val="28"/>
        </w:rPr>
        <w:t>编号</w:t>
      </w:r>
      <w:r>
        <w:rPr>
          <w:rFonts w:ascii="黑体" w:hAnsi="黑体" w:eastAsia="黑体"/>
          <w:color w:val="000000" w:themeColor="text1"/>
          <w:sz w:val="28"/>
        </w:rPr>
        <w:t>：CCGF-SZ-</w:t>
      </w:r>
      <w:r>
        <w:rPr>
          <w:rFonts w:hint="eastAsia" w:ascii="黑体" w:hAnsi="黑体" w:eastAsia="黑体"/>
          <w:color w:val="000000" w:themeColor="text1"/>
          <w:sz w:val="28"/>
        </w:rPr>
        <w:t>059</w:t>
      </w:r>
      <w:r>
        <w:rPr>
          <w:rFonts w:ascii="黑体" w:hAnsi="黑体" w:eastAsia="黑体"/>
          <w:color w:val="000000" w:themeColor="text1"/>
          <w:sz w:val="28"/>
        </w:rPr>
        <w:t>-201</w:t>
      </w:r>
      <w:r>
        <w:rPr>
          <w:rFonts w:hint="eastAsia" w:ascii="黑体" w:hAnsi="黑体" w:eastAsia="黑体"/>
          <w:color w:val="000000" w:themeColor="text1"/>
          <w:sz w:val="28"/>
        </w:rPr>
        <w:t>9</w:t>
      </w:r>
    </w:p>
    <w:p>
      <w:pPr>
        <w:snapToGrid w:val="0"/>
        <w:spacing w:line="360" w:lineRule="auto"/>
        <w:rPr>
          <w:rFonts w:ascii="宋体" w:hAnsi="宋体" w:eastAsia="宋体" w:cs="Times New Roman"/>
          <w:color w:val="000000" w:themeColor="text1"/>
          <w:sz w:val="24"/>
        </w:rPr>
      </w:pPr>
    </w:p>
    <w:p>
      <w:pPr>
        <w:snapToGrid w:val="0"/>
        <w:spacing w:line="360" w:lineRule="auto"/>
        <w:rPr>
          <w:rFonts w:ascii="仿宋_GB2312" w:hAnsi="宋体" w:eastAsia="仿宋_GB2312" w:cs="Times New Roman"/>
          <w:b/>
          <w:color w:val="000000" w:themeColor="text1"/>
          <w:szCs w:val="21"/>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1 适用范围</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本规范适用于深圳市生产及流通领域投影机产品质量监督抽查。监督抽查产品范围适用于：</w:t>
      </w:r>
      <w:r>
        <w:rPr>
          <w:rFonts w:hint="eastAsia" w:ascii="仿宋_GB2312" w:hAnsi="宋体" w:eastAsia="仿宋_GB2312"/>
          <w:color w:val="000000" w:themeColor="text1"/>
          <w:sz w:val="28"/>
          <w:szCs w:val="28"/>
        </w:rPr>
        <w:t>台式（桌面式）投影机、便携式投影机。</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2产品种类</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产品种类见表1。</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表1  产品种类</w:t>
      </w:r>
    </w:p>
    <w:tbl>
      <w:tblPr>
        <w:tblStyle w:val="1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305"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投影机</w:t>
            </w:r>
          </w:p>
        </w:tc>
        <w:tc>
          <w:tcPr>
            <w:tcW w:w="6305" w:type="dxa"/>
            <w:vAlign w:val="center"/>
          </w:tcPr>
          <w:p>
            <w:pPr>
              <w:autoSpaceDE w:val="0"/>
              <w:autoSpaceDN w:val="0"/>
              <w:adjustRightInd w:val="0"/>
              <w:spacing w:line="300" w:lineRule="exact"/>
              <w:rPr>
                <w:rFonts w:ascii="宋体" w:hAnsi="宋体" w:cs="宋体"/>
                <w:color w:val="000000" w:themeColor="text1"/>
                <w:kern w:val="0"/>
                <w:sz w:val="24"/>
              </w:rPr>
            </w:pPr>
            <w:r>
              <w:rPr>
                <w:rFonts w:hint="eastAsia" w:ascii="仿宋_GB2312" w:eastAsia="仿宋_GB2312" w:cs="宋体"/>
                <w:color w:val="000000" w:themeColor="text1"/>
                <w:kern w:val="0"/>
                <w:sz w:val="24"/>
                <w:szCs w:val="21"/>
              </w:rPr>
              <w:t>台式（桌面式）投影机、便携式投影机</w:t>
            </w:r>
          </w:p>
        </w:tc>
      </w:tr>
    </w:tbl>
    <w:p>
      <w:pPr>
        <w:snapToGrid w:val="0"/>
        <w:spacing w:before="156"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3 术语和定义</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术语和定义见表2。</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447"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eastAsia="仿宋_GB2312" w:cs="宋体"/>
                <w:color w:val="000000" w:themeColor="text1"/>
                <w:kern w:val="0"/>
                <w:sz w:val="24"/>
                <w:szCs w:val="21"/>
              </w:rPr>
              <w:t>台式（桌面式）投影机</w:t>
            </w:r>
          </w:p>
        </w:tc>
        <w:tc>
          <w:tcPr>
            <w:tcW w:w="6447" w:type="dxa"/>
            <w:vAlign w:val="center"/>
          </w:tcPr>
          <w:p>
            <w:pPr>
              <w:autoSpaceDE w:val="0"/>
              <w:autoSpaceDN w:val="0"/>
              <w:adjustRightInd w:val="0"/>
              <w:jc w:val="lef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在桌面或支架上可固定安装使用的投影机。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eastAsia="仿宋_GB2312" w:cs="宋体"/>
                <w:color w:val="000000" w:themeColor="text1"/>
                <w:kern w:val="0"/>
                <w:sz w:val="24"/>
                <w:szCs w:val="21"/>
              </w:rPr>
              <w:t>便携式投影机</w:t>
            </w:r>
          </w:p>
        </w:tc>
        <w:tc>
          <w:tcPr>
            <w:tcW w:w="6447" w:type="dxa"/>
            <w:vAlign w:val="center"/>
          </w:tcPr>
          <w:p>
            <w:pPr>
              <w:autoSpaceDE w:val="0"/>
              <w:autoSpaceDN w:val="0"/>
              <w:adjustRightInd w:val="0"/>
              <w:jc w:val="left"/>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可携带或可移动使用的用电源适配器供电的投影机。</w:t>
            </w:r>
          </w:p>
        </w:tc>
      </w:tr>
    </w:tbl>
    <w:p>
      <w:pPr>
        <w:snapToGrid w:val="0"/>
        <w:spacing w:before="156"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4 检验依据</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检验依据见表3。</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表3 检验依据</w:t>
      </w:r>
    </w:p>
    <w:tbl>
      <w:tblPr>
        <w:tblStyle w:val="17"/>
        <w:tblW w:w="9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866"/>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标准号</w:t>
            </w:r>
          </w:p>
        </w:tc>
        <w:tc>
          <w:tcPr>
            <w:tcW w:w="4866"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标准名称</w:t>
            </w:r>
          </w:p>
        </w:tc>
        <w:tc>
          <w:tcPr>
            <w:tcW w:w="2571"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shd w:val="clear" w:color="auto" w:fill="auto"/>
            <w:vAlign w:val="center"/>
          </w:tcPr>
          <w:p>
            <w:pPr>
              <w:autoSpaceDE w:val="0"/>
              <w:autoSpaceDN w:val="0"/>
              <w:adjustRightInd w:val="0"/>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GB 4943.1-2011</w:t>
            </w:r>
          </w:p>
        </w:tc>
        <w:tc>
          <w:tcPr>
            <w:tcW w:w="4866" w:type="dxa"/>
            <w:shd w:val="clear" w:color="auto" w:fill="auto"/>
            <w:vAlign w:val="center"/>
          </w:tcPr>
          <w:p>
            <w:pPr>
              <w:autoSpaceDE w:val="0"/>
              <w:autoSpaceDN w:val="0"/>
              <w:adjustRightInd w:val="0"/>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《信息技术设备 安全 第1部分：通用要求》</w:t>
            </w:r>
          </w:p>
        </w:tc>
        <w:tc>
          <w:tcPr>
            <w:tcW w:w="2571" w:type="dxa"/>
            <w:shd w:val="clear" w:color="auto" w:fill="auto"/>
            <w:vAlign w:val="center"/>
          </w:tcPr>
          <w:p>
            <w:pPr>
              <w:snapToGrid w:val="0"/>
              <w:jc w:val="center"/>
              <w:rPr>
                <w:rFonts w:ascii="宋体" w:hAnsi="Calibri" w:eastAsia="宋体" w:cs="Times New Roman"/>
                <w:color w:val="000000" w:themeColor="text1"/>
                <w:sz w:val="24"/>
                <w:szCs w:val="21"/>
              </w:rPr>
            </w:pPr>
            <w:r>
              <w:rPr>
                <w:rFonts w:hint="eastAsia" w:ascii="宋体" w:hAnsi="Calibri" w:eastAsia="宋体"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 xml:space="preserve">CMA  </w:t>
            </w:r>
            <w:r>
              <w:rPr>
                <w:rFonts w:hint="eastAsia" w:ascii="宋体" w:hAnsi="Calibri" w:eastAsia="宋体"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 xml:space="preserve">CAL </w:t>
            </w:r>
            <w:r>
              <w:rPr>
                <w:rFonts w:hint="eastAsia" w:ascii="宋体" w:hAnsi="Calibri" w:eastAsia="宋体" w:cs="Times New Roman"/>
                <w:color w:val="000000" w:themeColor="text1"/>
                <w:sz w:val="24"/>
                <w:szCs w:val="21"/>
              </w:rPr>
              <w:sym w:font="Wingdings 2" w:char="F052"/>
            </w:r>
            <w:r>
              <w:rPr>
                <w:rFonts w:hint="eastAsia" w:ascii="仿宋_GB2312" w:hAnsi="宋体" w:eastAsia="仿宋_GB2312" w:cs="Times New Roman"/>
                <w:color w:val="000000" w:themeColor="text1"/>
                <w:sz w:val="24"/>
                <w:szCs w:val="21"/>
              </w:rPr>
              <w:t>CNAS</w:t>
            </w:r>
          </w:p>
        </w:tc>
      </w:tr>
    </w:tbl>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 抽样</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5.1 抽样型号或规格</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抽取样品须为同一型号规格，同一批次的产品。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5.3 抽样基数</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在生产企业和市场上抽样时，抽样基数应不少于抽取样品量。</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5.4 抽样数量</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生产领域：随机抽取同一规格型号的</w:t>
      </w:r>
      <w:bookmarkStart w:id="0" w:name="OLE_LINK51"/>
      <w:r>
        <w:rPr>
          <w:rFonts w:hint="eastAsia" w:ascii="仿宋_GB2312" w:hAnsi="宋体" w:eastAsia="仿宋_GB2312" w:cs="Times New Roman"/>
          <w:color w:val="000000" w:themeColor="text1"/>
          <w:sz w:val="28"/>
          <w:szCs w:val="28"/>
        </w:rPr>
        <w:t>2台样品，1台作为检验样品带回承检机构，</w:t>
      </w:r>
      <w:bookmarkEnd w:id="0"/>
      <w:r>
        <w:rPr>
          <w:rFonts w:hint="eastAsia" w:ascii="仿宋_GB2312" w:hAnsi="宋体" w:eastAsia="仿宋_GB2312" w:cs="Times New Roman"/>
          <w:color w:val="000000" w:themeColor="text1"/>
          <w:sz w:val="28"/>
          <w:szCs w:val="28"/>
        </w:rPr>
        <w:t>1台作为备用样品封存于承检机构；</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5.5 样品处置</w:t>
      </w:r>
    </w:p>
    <w:p>
      <w:pPr>
        <w:spacing w:line="360" w:lineRule="auto"/>
        <w:rPr>
          <w:rFonts w:ascii="仿宋_GB2312" w:hAnsi="宋体" w:eastAsia="仿宋_GB2312" w:cs="Times New Roman"/>
          <w:color w:val="000000" w:themeColor="text1"/>
          <w:sz w:val="28"/>
          <w:szCs w:val="28"/>
        </w:rPr>
      </w:pPr>
      <w:r>
        <w:rPr>
          <w:rFonts w:hint="eastAsia" w:ascii="仿宋_GB2312" w:hAnsi="ˎ̥" w:eastAsia="仿宋_GB2312" w:cs="Times New Roman"/>
          <w:b/>
          <w:color w:val="000000" w:themeColor="text1"/>
          <w:sz w:val="28"/>
          <w:szCs w:val="28"/>
        </w:rPr>
        <w:t>5.5.1</w:t>
      </w:r>
      <w:r>
        <w:rPr>
          <w:rFonts w:hint="eastAsia" w:ascii="仿宋_GB2312" w:hAnsi="宋体" w:eastAsia="仿宋_GB2312" w:cs="Times New Roman"/>
          <w:color w:val="000000" w:themeColor="text1"/>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5.5.2</w:t>
      </w:r>
      <w:r>
        <w:rPr>
          <w:rFonts w:hint="eastAsia" w:ascii="仿宋_GB2312" w:hAnsi="Calibri" w:eastAsia="仿宋_GB2312" w:cs="Times New Roman"/>
          <w:color w:val="000000" w:themeColor="text1"/>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5.5.3</w:t>
      </w:r>
      <w:r>
        <w:rPr>
          <w:rFonts w:hint="eastAsia" w:ascii="仿宋_GB2312" w:hAnsi="Calibri" w:eastAsia="仿宋_GB2312" w:cs="Times New Roman"/>
          <w:color w:val="000000" w:themeColor="text1"/>
          <w:sz w:val="28"/>
          <w:szCs w:val="28"/>
        </w:rPr>
        <w:t>抽取投影机产品时，需要抽取附件的产品附件包括说明书、保修卡等。</w:t>
      </w:r>
    </w:p>
    <w:p>
      <w:pPr>
        <w:autoSpaceDE w:val="0"/>
        <w:autoSpaceDN w:val="0"/>
        <w:adjustRightIn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5.6 抽样单</w:t>
      </w:r>
    </w:p>
    <w:p>
      <w:pPr>
        <w:snapToGrid w:val="0"/>
        <w:spacing w:line="360" w:lineRule="auto"/>
        <w:ind w:firstLine="537" w:firstLineChars="192"/>
        <w:rPr>
          <w:rFonts w:ascii="仿宋_GB2312" w:hAnsi="Calibri" w:eastAsia="仿宋_GB2312" w:cs="Sim Sun"/>
          <w:color w:val="000000" w:themeColor="text1"/>
          <w:kern w:val="0"/>
          <w:sz w:val="28"/>
          <w:szCs w:val="28"/>
        </w:rPr>
      </w:pPr>
      <w:r>
        <w:rPr>
          <w:rFonts w:hint="eastAsia" w:ascii="仿宋_GB2312" w:hAnsi="宋体" w:eastAsia="仿宋_GB2312" w:cs="Times New Roman"/>
          <w:color w:val="000000" w:themeColor="text1"/>
          <w:sz w:val="28"/>
          <w:szCs w:val="28"/>
        </w:rPr>
        <w:t>应按有关规定填写抽样单，并记录被抽查产品及企业相关信息。</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 检验要求</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6.1 检验项目</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946"/>
        <w:gridCol w:w="10"/>
        <w:gridCol w:w="1089"/>
        <w:gridCol w:w="2434"/>
        <w:gridCol w:w="828"/>
        <w:gridCol w:w="242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588"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序号</w:t>
            </w:r>
          </w:p>
        </w:tc>
        <w:tc>
          <w:tcPr>
            <w:tcW w:w="2045" w:type="dxa"/>
            <w:gridSpan w:val="3"/>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检验项目</w:t>
            </w:r>
          </w:p>
        </w:tc>
        <w:tc>
          <w:tcPr>
            <w:tcW w:w="2434"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检测依据</w:t>
            </w:r>
          </w:p>
        </w:tc>
        <w:tc>
          <w:tcPr>
            <w:tcW w:w="828"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项目</w:t>
            </w:r>
          </w:p>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性质</w:t>
            </w:r>
          </w:p>
        </w:tc>
        <w:tc>
          <w:tcPr>
            <w:tcW w:w="2426"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检测方法</w:t>
            </w:r>
          </w:p>
        </w:tc>
        <w:tc>
          <w:tcPr>
            <w:tcW w:w="868"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复检</w:t>
            </w:r>
          </w:p>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电源接口</w:t>
            </w:r>
          </w:p>
        </w:tc>
        <w:tc>
          <w:tcPr>
            <w:tcW w:w="2434"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1.6</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1.6</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标记和说明</w:t>
            </w:r>
          </w:p>
        </w:tc>
        <w:tc>
          <w:tcPr>
            <w:tcW w:w="2434"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1.7</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1.7</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3</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vertAlign w:val="superscript"/>
              </w:rPr>
            </w:pPr>
            <w:r>
              <w:rPr>
                <w:rFonts w:hint="eastAsia" w:ascii="仿宋_GB2312" w:hAnsi="仿宋" w:eastAsia="仿宋_GB2312"/>
                <w:bCs/>
                <w:sz w:val="24"/>
              </w:rPr>
              <w:t>电击和能量危险的防护</w:t>
            </w:r>
          </w:p>
        </w:tc>
        <w:tc>
          <w:tcPr>
            <w:tcW w:w="2434"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2.1</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2.1</w:t>
            </w:r>
          </w:p>
        </w:tc>
        <w:tc>
          <w:tcPr>
            <w:tcW w:w="868" w:type="dxa"/>
            <w:tcBorders>
              <w:top w:val="single" w:color="auto" w:sz="2" w:space="0"/>
            </w:tcBorders>
            <w:vAlign w:val="center"/>
          </w:tcPr>
          <w:p>
            <w:pPr>
              <w:widowControl/>
              <w:snapToGrid w:val="0"/>
              <w:jc w:val="center"/>
              <w:rPr>
                <w:rFonts w:ascii="仿宋_GB2312" w:hAnsi="仿宋" w:eastAsia="仿宋_GB2312" w:cs="宋体"/>
                <w:sz w:val="24"/>
                <w:vertAlign w:val="superscript"/>
              </w:rPr>
            </w:pPr>
            <w:r>
              <w:rPr>
                <w:rFonts w:hint="eastAsia" w:ascii="仿宋_GB2312" w:hAnsi="仿宋" w:eastAsia="仿宋_GB2312"/>
                <w:sz w:val="24"/>
              </w:rPr>
              <w:t>原样/</w:t>
            </w:r>
            <w:r>
              <w:rPr>
                <w:rFonts w:hint="eastAsia" w:ascii="仿宋_GB2312" w:hAnsi="仿宋" w:eastAsia="仿宋_GB2312"/>
                <w:bCs/>
                <w:sz w:val="24"/>
              </w:rPr>
              <w:t>备样</w:t>
            </w:r>
            <w:r>
              <w:rPr>
                <w:rFonts w:hint="eastAsia" w:ascii="仿宋_GB2312" w:hAnsi="仿宋" w:eastAsia="仿宋_GB2312"/>
                <w:bCs/>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4</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SELV电路</w:t>
            </w:r>
          </w:p>
        </w:tc>
        <w:tc>
          <w:tcPr>
            <w:tcW w:w="2434"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2.2</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2.2</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5</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TNV电路</w:t>
            </w:r>
          </w:p>
        </w:tc>
        <w:tc>
          <w:tcPr>
            <w:tcW w:w="2434"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2.3</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2.3</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6</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限流电路</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2.4</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2.4</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7</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受限制电源</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2.5</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2.5</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8</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接地和连接保护措施</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2.6</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2.6</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9</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一次电路过流保护和接地故障保护</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2.7</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2.7</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10</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安全联锁装置</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2.8</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2.8</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11</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电气绝缘</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2.9</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2.9</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12</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电气间隙、爬电距离和绝缘穿透距离</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2.10</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2.10</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13</w:t>
            </w:r>
          </w:p>
        </w:tc>
        <w:tc>
          <w:tcPr>
            <w:tcW w:w="946" w:type="dxa"/>
            <w:vMerge w:val="restart"/>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cs="Times New Roman"/>
                <w:bCs/>
                <w:sz w:val="24"/>
                <w:szCs w:val="24"/>
              </w:rPr>
              <w:t>布线、连接和供电</w:t>
            </w:r>
          </w:p>
        </w:tc>
        <w:tc>
          <w:tcPr>
            <w:tcW w:w="1099" w:type="dxa"/>
            <w:gridSpan w:val="2"/>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基本要求</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3.1</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3.1</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14</w:t>
            </w:r>
          </w:p>
        </w:tc>
        <w:tc>
          <w:tcPr>
            <w:tcW w:w="946" w:type="dxa"/>
            <w:vMerge w:val="continue"/>
            <w:vAlign w:val="center"/>
          </w:tcPr>
          <w:p>
            <w:pPr>
              <w:widowControl/>
              <w:snapToGrid w:val="0"/>
              <w:jc w:val="center"/>
              <w:rPr>
                <w:rFonts w:ascii="仿宋_GB2312" w:hAnsi="仿宋" w:eastAsia="仿宋_GB2312"/>
                <w:bCs/>
                <w:sz w:val="24"/>
                <w:szCs w:val="24"/>
              </w:rPr>
            </w:pPr>
          </w:p>
        </w:tc>
        <w:tc>
          <w:tcPr>
            <w:tcW w:w="1099" w:type="dxa"/>
            <w:gridSpan w:val="2"/>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与电网电源的连接</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3.2</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3.2</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15</w:t>
            </w:r>
          </w:p>
        </w:tc>
        <w:tc>
          <w:tcPr>
            <w:tcW w:w="946" w:type="dxa"/>
            <w:vMerge w:val="continue"/>
            <w:vAlign w:val="center"/>
          </w:tcPr>
          <w:p>
            <w:pPr>
              <w:widowControl/>
              <w:snapToGrid w:val="0"/>
              <w:jc w:val="center"/>
              <w:rPr>
                <w:rFonts w:ascii="仿宋_GB2312" w:hAnsi="仿宋" w:eastAsia="仿宋_GB2312"/>
                <w:bCs/>
                <w:sz w:val="24"/>
                <w:szCs w:val="24"/>
              </w:rPr>
            </w:pPr>
          </w:p>
        </w:tc>
        <w:tc>
          <w:tcPr>
            <w:tcW w:w="1099" w:type="dxa"/>
            <w:gridSpan w:val="2"/>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连接外部导线的接线端子</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3.3</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3.3</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16</w:t>
            </w:r>
          </w:p>
        </w:tc>
        <w:tc>
          <w:tcPr>
            <w:tcW w:w="946" w:type="dxa"/>
            <w:vMerge w:val="continue"/>
            <w:vAlign w:val="center"/>
          </w:tcPr>
          <w:p>
            <w:pPr>
              <w:widowControl/>
              <w:snapToGrid w:val="0"/>
              <w:jc w:val="center"/>
              <w:rPr>
                <w:rFonts w:ascii="仿宋_GB2312" w:hAnsi="仿宋" w:eastAsia="仿宋_GB2312"/>
                <w:bCs/>
                <w:sz w:val="24"/>
                <w:szCs w:val="24"/>
              </w:rPr>
            </w:pPr>
          </w:p>
        </w:tc>
        <w:tc>
          <w:tcPr>
            <w:tcW w:w="1099" w:type="dxa"/>
            <w:gridSpan w:val="2"/>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与电网电源的断开</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3.4</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3.4</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17</w:t>
            </w:r>
          </w:p>
        </w:tc>
        <w:tc>
          <w:tcPr>
            <w:tcW w:w="946" w:type="dxa"/>
            <w:vMerge w:val="continue"/>
            <w:vAlign w:val="center"/>
          </w:tcPr>
          <w:p>
            <w:pPr>
              <w:widowControl/>
              <w:snapToGrid w:val="0"/>
              <w:jc w:val="center"/>
              <w:rPr>
                <w:rFonts w:ascii="仿宋_GB2312" w:hAnsi="仿宋" w:eastAsia="仿宋_GB2312"/>
                <w:bCs/>
                <w:sz w:val="24"/>
                <w:szCs w:val="24"/>
              </w:rPr>
            </w:pPr>
          </w:p>
        </w:tc>
        <w:tc>
          <w:tcPr>
            <w:tcW w:w="1099" w:type="dxa"/>
            <w:gridSpan w:val="2"/>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设备的互联</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3.5</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3.5</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18</w:t>
            </w:r>
          </w:p>
        </w:tc>
        <w:tc>
          <w:tcPr>
            <w:tcW w:w="956" w:type="dxa"/>
            <w:gridSpan w:val="2"/>
            <w:vMerge w:val="restart"/>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结构要求</w:t>
            </w:r>
          </w:p>
        </w:tc>
        <w:tc>
          <w:tcPr>
            <w:tcW w:w="1089" w:type="dxa"/>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稳定性</w:t>
            </w:r>
          </w:p>
        </w:tc>
        <w:tc>
          <w:tcPr>
            <w:tcW w:w="2434" w:type="dxa"/>
            <w:tcBorders>
              <w:top w:val="single" w:color="auto" w:sz="2" w:space="0"/>
            </w:tcBorders>
            <w:vAlign w:val="center"/>
          </w:tcPr>
          <w:p>
            <w:pPr>
              <w:widowControl/>
              <w:snapToGrid w:val="0"/>
              <w:jc w:val="center"/>
              <w:rPr>
                <w:rFonts w:ascii="仿宋_GB2312" w:hAnsi="仿宋" w:eastAsia="仿宋_GB2312"/>
                <w:bCs/>
                <w:sz w:val="24"/>
                <w:szCs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4.1</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szCs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4.1</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19</w:t>
            </w:r>
          </w:p>
        </w:tc>
        <w:tc>
          <w:tcPr>
            <w:tcW w:w="956" w:type="dxa"/>
            <w:gridSpan w:val="2"/>
            <w:vMerge w:val="continue"/>
            <w:vAlign w:val="center"/>
          </w:tcPr>
          <w:p>
            <w:pPr>
              <w:widowControl/>
              <w:snapToGrid w:val="0"/>
              <w:jc w:val="center"/>
              <w:rPr>
                <w:rFonts w:ascii="仿宋_GB2312" w:hAnsi="仿宋" w:eastAsia="仿宋_GB2312"/>
                <w:bCs/>
                <w:sz w:val="24"/>
                <w:szCs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机械强度</w:t>
            </w:r>
          </w:p>
        </w:tc>
        <w:tc>
          <w:tcPr>
            <w:tcW w:w="2434" w:type="dxa"/>
            <w:tcBorders>
              <w:top w:val="single" w:color="auto" w:sz="2" w:space="0"/>
            </w:tcBorders>
            <w:vAlign w:val="center"/>
          </w:tcPr>
          <w:p>
            <w:pPr>
              <w:widowControl/>
              <w:snapToGrid w:val="0"/>
              <w:jc w:val="center"/>
              <w:rPr>
                <w:rFonts w:ascii="仿宋_GB2312" w:hAnsi="仿宋" w:eastAsia="仿宋_GB2312"/>
                <w:bCs/>
                <w:sz w:val="24"/>
                <w:szCs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4.2</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szCs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4.2</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20</w:t>
            </w:r>
          </w:p>
        </w:tc>
        <w:tc>
          <w:tcPr>
            <w:tcW w:w="956" w:type="dxa"/>
            <w:gridSpan w:val="2"/>
            <w:vMerge w:val="continue"/>
            <w:vAlign w:val="center"/>
          </w:tcPr>
          <w:p>
            <w:pPr>
              <w:widowControl/>
              <w:snapToGrid w:val="0"/>
              <w:jc w:val="center"/>
              <w:rPr>
                <w:rFonts w:ascii="仿宋_GB2312" w:hAnsi="仿宋" w:eastAsia="仿宋_GB2312"/>
                <w:bCs/>
                <w:sz w:val="24"/>
                <w:szCs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szCs w:val="24"/>
              </w:rPr>
            </w:pPr>
            <w:r>
              <w:rPr>
                <w:rFonts w:hint="eastAsia" w:ascii="仿宋_GB2312" w:hAnsi="仿宋" w:eastAsia="仿宋_GB2312"/>
                <w:bCs/>
                <w:sz w:val="24"/>
                <w:szCs w:val="24"/>
              </w:rPr>
              <w:t>结构设计</w:t>
            </w:r>
          </w:p>
        </w:tc>
        <w:tc>
          <w:tcPr>
            <w:tcW w:w="2434" w:type="dxa"/>
            <w:tcBorders>
              <w:top w:val="single" w:color="auto" w:sz="2" w:space="0"/>
            </w:tcBorders>
            <w:vAlign w:val="center"/>
          </w:tcPr>
          <w:p>
            <w:pPr>
              <w:widowControl/>
              <w:snapToGrid w:val="0"/>
              <w:jc w:val="center"/>
              <w:rPr>
                <w:rFonts w:ascii="仿宋_GB2312" w:hAnsi="仿宋" w:eastAsia="仿宋_GB2312"/>
                <w:bCs/>
                <w:sz w:val="24"/>
                <w:szCs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4.3</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szCs w:val="24"/>
              </w:rPr>
            </w:pPr>
            <w:r>
              <w:rPr>
                <w:rFonts w:ascii="仿宋_GB2312" w:hAnsi="仿宋" w:eastAsia="仿宋_GB2312"/>
                <w:bCs/>
                <w:sz w:val="24"/>
                <w:szCs w:val="24"/>
              </w:rPr>
              <w:t xml:space="preserve">GB 4943.1-2011 </w:t>
            </w:r>
            <w:r>
              <w:rPr>
                <w:rFonts w:hint="eastAsia" w:ascii="仿宋_GB2312" w:hAnsi="仿宋" w:eastAsia="仿宋_GB2312"/>
                <w:bCs/>
                <w:sz w:val="24"/>
                <w:szCs w:val="24"/>
              </w:rPr>
              <w:t>4.3</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21</w:t>
            </w:r>
          </w:p>
        </w:tc>
        <w:tc>
          <w:tcPr>
            <w:tcW w:w="956" w:type="dxa"/>
            <w:gridSpan w:val="2"/>
            <w:vMerge w:val="continue"/>
            <w:vAlign w:val="center"/>
          </w:tcPr>
          <w:p>
            <w:pPr>
              <w:widowControl/>
              <w:snapToGrid w:val="0"/>
              <w:jc w:val="center"/>
              <w:rPr>
                <w:rFonts w:ascii="仿宋_GB2312" w:hAnsi="仿宋" w:eastAsia="仿宋_GB2312"/>
                <w:bCs/>
                <w:sz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直插式设备</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4.3.6</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4.3.6</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22</w:t>
            </w:r>
          </w:p>
        </w:tc>
        <w:tc>
          <w:tcPr>
            <w:tcW w:w="956" w:type="dxa"/>
            <w:gridSpan w:val="2"/>
            <w:vMerge w:val="continue"/>
            <w:vAlign w:val="center"/>
          </w:tcPr>
          <w:p>
            <w:pPr>
              <w:widowControl/>
              <w:snapToGrid w:val="0"/>
              <w:jc w:val="center"/>
              <w:rPr>
                <w:rFonts w:ascii="仿宋_GB2312" w:hAnsi="仿宋" w:eastAsia="仿宋_GB2312"/>
                <w:bCs/>
                <w:sz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电池</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4.3.8</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4.3.8</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23</w:t>
            </w:r>
          </w:p>
        </w:tc>
        <w:tc>
          <w:tcPr>
            <w:tcW w:w="956" w:type="dxa"/>
            <w:gridSpan w:val="2"/>
            <w:vMerge w:val="continue"/>
            <w:vAlign w:val="center"/>
          </w:tcPr>
          <w:p>
            <w:pPr>
              <w:widowControl/>
              <w:snapToGrid w:val="0"/>
              <w:jc w:val="center"/>
              <w:rPr>
                <w:rFonts w:ascii="仿宋_GB2312" w:hAnsi="仿宋" w:eastAsia="仿宋_GB2312"/>
                <w:bCs/>
                <w:sz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危险的运动部件的防护</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4.4</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4.4</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24</w:t>
            </w:r>
          </w:p>
        </w:tc>
        <w:tc>
          <w:tcPr>
            <w:tcW w:w="956" w:type="dxa"/>
            <w:gridSpan w:val="2"/>
            <w:vMerge w:val="continue"/>
            <w:vAlign w:val="center"/>
          </w:tcPr>
          <w:p>
            <w:pPr>
              <w:widowControl/>
              <w:snapToGrid w:val="0"/>
              <w:jc w:val="center"/>
              <w:rPr>
                <w:rFonts w:ascii="仿宋_GB2312" w:hAnsi="仿宋" w:eastAsia="仿宋_GB2312"/>
                <w:bCs/>
                <w:sz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发热要求</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4.5</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4.5</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25</w:t>
            </w:r>
          </w:p>
        </w:tc>
        <w:tc>
          <w:tcPr>
            <w:tcW w:w="956" w:type="dxa"/>
            <w:gridSpan w:val="2"/>
            <w:vMerge w:val="continue"/>
            <w:vAlign w:val="center"/>
          </w:tcPr>
          <w:p>
            <w:pPr>
              <w:widowControl/>
              <w:snapToGrid w:val="0"/>
              <w:jc w:val="center"/>
              <w:rPr>
                <w:rFonts w:ascii="仿宋_GB2312" w:hAnsi="仿宋" w:eastAsia="仿宋_GB2312"/>
                <w:bCs/>
                <w:sz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外壳的开孔</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4.6</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4.6</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26</w:t>
            </w:r>
          </w:p>
        </w:tc>
        <w:tc>
          <w:tcPr>
            <w:tcW w:w="956" w:type="dxa"/>
            <w:gridSpan w:val="2"/>
            <w:vMerge w:val="continue"/>
            <w:vAlign w:val="center"/>
          </w:tcPr>
          <w:p>
            <w:pPr>
              <w:widowControl/>
              <w:snapToGrid w:val="0"/>
              <w:jc w:val="center"/>
              <w:rPr>
                <w:rFonts w:ascii="仿宋_GB2312" w:hAnsi="仿宋" w:eastAsia="仿宋_GB2312"/>
                <w:bCs/>
                <w:sz w:val="24"/>
              </w:rPr>
            </w:pPr>
          </w:p>
        </w:tc>
        <w:tc>
          <w:tcPr>
            <w:tcW w:w="1089"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防火</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4.7</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ascii="仿宋_GB2312" w:hAnsi="仿宋" w:eastAsia="仿宋_GB2312"/>
                <w:bCs/>
                <w:sz w:val="24"/>
              </w:rPr>
              <w:t xml:space="preserve">GB 4943.1-2011 </w:t>
            </w:r>
            <w:r>
              <w:rPr>
                <w:rFonts w:hint="eastAsia" w:ascii="仿宋_GB2312" w:hAnsi="仿宋" w:eastAsia="仿宋_GB2312"/>
                <w:bCs/>
                <w:sz w:val="24"/>
              </w:rPr>
              <w:t>4.7</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27</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接触电流和保护导体电流</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5.1</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5.1</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28</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抗电强度</w:t>
            </w:r>
          </w:p>
        </w:tc>
        <w:tc>
          <w:tcPr>
            <w:tcW w:w="2434"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5.2</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GB 4943.1-2011 5.2</w:t>
            </w:r>
          </w:p>
        </w:tc>
        <w:tc>
          <w:tcPr>
            <w:tcW w:w="868" w:type="dxa"/>
            <w:tcBorders>
              <w:top w:val="single" w:color="auto" w:sz="2" w:space="0"/>
            </w:tcBorders>
            <w:vAlign w:val="center"/>
          </w:tcPr>
          <w:p>
            <w:pPr>
              <w:widowControl/>
              <w:jc w:val="center"/>
              <w:rPr>
                <w:rFonts w:ascii="仿宋_GB2312" w:hAnsi="仿宋" w:eastAsia="仿宋_GB2312"/>
                <w:bCs/>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29</w:t>
            </w:r>
          </w:p>
        </w:tc>
        <w:tc>
          <w:tcPr>
            <w:tcW w:w="2045" w:type="dxa"/>
            <w:gridSpan w:val="3"/>
            <w:tcBorders>
              <w:top w:val="single" w:color="auto" w:sz="2" w:space="0"/>
            </w:tcBorders>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异常工作和故障试验</w:t>
            </w:r>
          </w:p>
        </w:tc>
        <w:tc>
          <w:tcPr>
            <w:tcW w:w="2434"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5.3</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5.3</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30</w:t>
            </w:r>
          </w:p>
        </w:tc>
        <w:tc>
          <w:tcPr>
            <w:tcW w:w="2045" w:type="dxa"/>
            <w:gridSpan w:val="3"/>
            <w:tcBorders>
              <w:top w:val="single" w:color="auto" w:sz="2"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与通信网络的连接</w:t>
            </w:r>
          </w:p>
        </w:tc>
        <w:tc>
          <w:tcPr>
            <w:tcW w:w="2434" w:type="dxa"/>
            <w:tcBorders>
              <w:top w:val="single" w:color="auto" w:sz="2" w:space="0"/>
            </w:tcBorders>
            <w:vAlign w:val="center"/>
          </w:tcPr>
          <w:p>
            <w:pPr>
              <w:widowControl/>
              <w:snapToGrid w:val="0"/>
              <w:jc w:val="center"/>
              <w:rPr>
                <w:rFonts w:ascii="仿宋_GB2312" w:hAnsi="仿宋" w:eastAsia="仿宋_GB2312"/>
                <w:sz w:val="24"/>
              </w:rPr>
            </w:pPr>
            <w:r>
              <w:rPr>
                <w:rFonts w:ascii="仿宋_GB2312" w:hAnsi="仿宋" w:eastAsia="仿宋_GB2312"/>
                <w:bCs/>
                <w:sz w:val="24"/>
              </w:rPr>
              <w:t xml:space="preserve">GB 4943.1-2011 </w:t>
            </w:r>
            <w:r>
              <w:rPr>
                <w:rFonts w:hint="eastAsia" w:ascii="仿宋_GB2312" w:hAnsi="仿宋" w:eastAsia="仿宋_GB2312"/>
                <w:bCs/>
                <w:sz w:val="24"/>
                <w:szCs w:val="24"/>
              </w:rPr>
              <w:t>6</w:t>
            </w:r>
          </w:p>
        </w:tc>
        <w:tc>
          <w:tcPr>
            <w:tcW w:w="82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tcBorders>
            <w:vAlign w:val="center"/>
          </w:tcPr>
          <w:p>
            <w:pPr>
              <w:widowControl/>
              <w:snapToGrid w:val="0"/>
              <w:jc w:val="center"/>
              <w:rPr>
                <w:rFonts w:ascii="仿宋_GB2312" w:hAnsi="仿宋" w:eastAsia="仿宋_GB2312"/>
                <w:sz w:val="24"/>
              </w:rPr>
            </w:pPr>
            <w:r>
              <w:rPr>
                <w:rFonts w:ascii="仿宋_GB2312" w:hAnsi="仿宋" w:eastAsia="仿宋_GB2312"/>
                <w:bCs/>
                <w:sz w:val="24"/>
              </w:rPr>
              <w:t xml:space="preserve">GB 4943.1-2011 </w:t>
            </w:r>
            <w:r>
              <w:rPr>
                <w:rFonts w:hint="eastAsia" w:ascii="仿宋_GB2312" w:hAnsi="仿宋" w:eastAsia="仿宋_GB2312"/>
                <w:bCs/>
                <w:sz w:val="24"/>
                <w:szCs w:val="24"/>
              </w:rPr>
              <w:t>6</w:t>
            </w:r>
          </w:p>
        </w:tc>
        <w:tc>
          <w:tcPr>
            <w:tcW w:w="868" w:type="dxa"/>
            <w:tcBorders>
              <w:top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588" w:type="dxa"/>
            <w:tcBorders>
              <w:top w:val="single" w:color="auto" w:sz="2" w:space="0"/>
              <w:bottom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31</w:t>
            </w:r>
          </w:p>
        </w:tc>
        <w:tc>
          <w:tcPr>
            <w:tcW w:w="2045" w:type="dxa"/>
            <w:gridSpan w:val="3"/>
            <w:tcBorders>
              <w:top w:val="single" w:color="auto" w:sz="2" w:space="0"/>
              <w:bottom w:val="single" w:color="auto" w:sz="2"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与电缆分配系统的连接</w:t>
            </w:r>
          </w:p>
        </w:tc>
        <w:tc>
          <w:tcPr>
            <w:tcW w:w="2434" w:type="dxa"/>
            <w:tcBorders>
              <w:top w:val="single" w:color="auto" w:sz="2" w:space="0"/>
              <w:bottom w:val="single" w:color="auto" w:sz="2" w:space="0"/>
            </w:tcBorders>
            <w:vAlign w:val="center"/>
          </w:tcPr>
          <w:p>
            <w:pPr>
              <w:widowControl/>
              <w:snapToGrid w:val="0"/>
              <w:jc w:val="center"/>
              <w:rPr>
                <w:rFonts w:ascii="仿宋_GB2312" w:hAnsi="仿宋" w:eastAsia="仿宋_GB2312"/>
                <w:sz w:val="24"/>
              </w:rPr>
            </w:pPr>
            <w:r>
              <w:rPr>
                <w:rFonts w:ascii="仿宋_GB2312" w:hAnsi="仿宋" w:eastAsia="仿宋_GB2312"/>
                <w:bCs/>
                <w:sz w:val="24"/>
              </w:rPr>
              <w:t xml:space="preserve">GB 4943.1-2011 </w:t>
            </w:r>
            <w:r>
              <w:rPr>
                <w:rFonts w:hint="eastAsia" w:ascii="仿宋_GB2312" w:hAnsi="仿宋" w:eastAsia="仿宋_GB2312"/>
                <w:bCs/>
                <w:sz w:val="24"/>
                <w:szCs w:val="24"/>
              </w:rPr>
              <w:t>7</w:t>
            </w:r>
          </w:p>
        </w:tc>
        <w:tc>
          <w:tcPr>
            <w:tcW w:w="828" w:type="dxa"/>
            <w:tcBorders>
              <w:top w:val="single" w:color="auto" w:sz="2" w:space="0"/>
              <w:bottom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426" w:type="dxa"/>
            <w:tcBorders>
              <w:top w:val="single" w:color="auto" w:sz="2" w:space="0"/>
              <w:bottom w:val="single" w:color="auto" w:sz="2" w:space="0"/>
            </w:tcBorders>
            <w:vAlign w:val="center"/>
          </w:tcPr>
          <w:p>
            <w:pPr>
              <w:widowControl/>
              <w:snapToGrid w:val="0"/>
              <w:jc w:val="center"/>
              <w:rPr>
                <w:rFonts w:ascii="仿宋_GB2312" w:hAnsi="仿宋" w:eastAsia="仿宋_GB2312"/>
                <w:sz w:val="24"/>
              </w:rPr>
            </w:pPr>
            <w:r>
              <w:rPr>
                <w:rFonts w:ascii="仿宋_GB2312" w:hAnsi="仿宋" w:eastAsia="仿宋_GB2312"/>
                <w:bCs/>
                <w:sz w:val="24"/>
              </w:rPr>
              <w:t xml:space="preserve">GB 4943.1-2011 </w:t>
            </w:r>
            <w:r>
              <w:rPr>
                <w:rFonts w:hint="eastAsia" w:ascii="仿宋_GB2312" w:hAnsi="仿宋" w:eastAsia="仿宋_GB2312"/>
                <w:bCs/>
                <w:sz w:val="24"/>
                <w:szCs w:val="24"/>
              </w:rPr>
              <w:t>7</w:t>
            </w:r>
          </w:p>
        </w:tc>
        <w:tc>
          <w:tcPr>
            <w:tcW w:w="868" w:type="dxa"/>
            <w:tcBorders>
              <w:top w:val="single" w:color="auto" w:sz="2" w:space="0"/>
              <w:bottom w:val="single" w:color="auto" w:sz="2" w:space="0"/>
            </w:tcBorders>
            <w:vAlign w:val="center"/>
          </w:tcPr>
          <w:p>
            <w:pPr>
              <w:widowControl/>
              <w:snapToGrid w:val="0"/>
              <w:jc w:val="center"/>
              <w:rPr>
                <w:rFonts w:ascii="仿宋_GB2312" w:hAnsi="仿宋" w:eastAsia="仿宋_GB2312" w:cs="宋体"/>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189" w:type="dxa"/>
            <w:gridSpan w:val="8"/>
            <w:tcBorders>
              <w:top w:val="single" w:color="auto" w:sz="2" w:space="0"/>
            </w:tcBorders>
            <w:vAlign w:val="center"/>
          </w:tcPr>
          <w:p>
            <w:pPr>
              <w:widowControl/>
              <w:snapToGrid w:val="0"/>
              <w:jc w:val="left"/>
              <w:rPr>
                <w:rFonts w:ascii="仿宋_GB2312" w:hAnsi="仿宋" w:eastAsia="仿宋_GB2312"/>
                <w:bCs/>
                <w:sz w:val="24"/>
              </w:rPr>
            </w:pPr>
            <w:r>
              <w:rPr>
                <w:rFonts w:hint="eastAsia" w:ascii="仿宋_GB2312" w:hAnsi="仿宋" w:eastAsia="仿宋_GB2312" w:cs="Times New Roman"/>
                <w:bCs/>
                <w:sz w:val="24"/>
                <w:szCs w:val="24"/>
              </w:rPr>
              <w:t>注1：“电击和能量危险的防护”项目复检时，设备内电容器的放电试验选择原样作为复检样品，其他试验选择备样作为复检样品。</w:t>
            </w:r>
          </w:p>
        </w:tc>
      </w:tr>
    </w:tbl>
    <w:p>
      <w:pPr>
        <w:snapToGrid w:val="0"/>
        <w:spacing w:line="360" w:lineRule="auto"/>
        <w:rPr>
          <w:rFonts w:ascii="仿宋_GB2312" w:hAnsi="宋体" w:eastAsia="仿宋_GB2312" w:cs="Times New Roman"/>
          <w:b/>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 xml:space="preserve"> 检验应注意的问题</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.1</w:t>
      </w:r>
      <w:r>
        <w:rPr>
          <w:rFonts w:hint="eastAsia" w:ascii="仿宋_GB2312" w:hAnsi="Calibri" w:eastAsia="仿宋_GB2312" w:cs="Sim Sun"/>
          <w:color w:val="000000" w:themeColor="text1"/>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000000" w:themeColor="text1"/>
          <w:sz w:val="28"/>
          <w:szCs w:val="28"/>
        </w:rPr>
        <w:t>备用</w:t>
      </w:r>
      <w:r>
        <w:rPr>
          <w:rFonts w:hint="eastAsia" w:ascii="仿宋_GB2312" w:hAnsi="宋体" w:eastAsia="仿宋_GB2312" w:cs="Times New Roman"/>
          <w:iCs/>
          <w:color w:val="000000" w:themeColor="text1"/>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6.2.2</w:t>
      </w:r>
      <w:r>
        <w:rPr>
          <w:rFonts w:hint="eastAsia" w:ascii="仿宋_GB2312" w:eastAsia="仿宋_GB2312" w:cs="Sim Sun"/>
          <w:color w:val="000000" w:themeColor="text1"/>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6.2.3</w:t>
      </w:r>
      <w:r>
        <w:rPr>
          <w:rFonts w:hint="eastAsia" w:ascii="仿宋_GB2312" w:eastAsia="仿宋_GB2312" w:cs="Sim Sun"/>
          <w:color w:val="000000" w:themeColor="text1"/>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7 判定原则</w:t>
      </w:r>
    </w:p>
    <w:p>
      <w:pPr>
        <w:snapToGrid w:val="0"/>
        <w:spacing w:line="360" w:lineRule="auto"/>
        <w:ind w:firstLine="560" w:firstLineChars="200"/>
        <w:rPr>
          <w:rFonts w:ascii="仿宋_GB2312" w:hAnsi="Times New Roman" w:eastAsia="仿宋_GB2312" w:cs="Sim Sun"/>
          <w:color w:val="000000" w:themeColor="text1"/>
          <w:kern w:val="0"/>
          <w:sz w:val="28"/>
          <w:szCs w:val="28"/>
        </w:rPr>
      </w:pPr>
      <w:r>
        <w:rPr>
          <w:rFonts w:hint="eastAsia" w:ascii="仿宋_GB2312" w:eastAsia="仿宋_GB2312" w:cs="Sim Sun"/>
          <w:color w:val="000000" w:themeColor="text1"/>
          <w:kern w:val="0"/>
          <w:sz w:val="28"/>
          <w:szCs w:val="28"/>
        </w:rPr>
        <w:t>经检验，所检样品全部项目合格，判该产品本次监督抽查结果合格；出现一项或一项以上</w:t>
      </w:r>
      <w:r>
        <w:rPr>
          <w:rFonts w:hint="eastAsia" w:ascii="仿宋_GB2312" w:hAnsi="宋体" w:eastAsia="仿宋_GB2312"/>
          <w:color w:val="000000" w:themeColor="text1"/>
          <w:sz w:val="28"/>
          <w:szCs w:val="28"/>
        </w:rPr>
        <w:t>项目</w:t>
      </w:r>
      <w:r>
        <w:rPr>
          <w:rFonts w:hint="eastAsia" w:ascii="仿宋_GB2312" w:eastAsia="仿宋_GB2312" w:cs="Sim Sun"/>
          <w:color w:val="000000" w:themeColor="text1"/>
          <w:kern w:val="0"/>
          <w:sz w:val="28"/>
          <w:szCs w:val="28"/>
        </w:rPr>
        <w:t>不合格，判该产品本次监督检验结果不合格。</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8 异议处理复检</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.1</w:t>
      </w:r>
      <w:r>
        <w:rPr>
          <w:rFonts w:hint="eastAsia" w:ascii="仿宋_GB2312" w:eastAsia="仿宋_GB2312" w:cs="Sim Sun"/>
          <w:iCs/>
          <w:color w:val="000000" w:themeColor="text1"/>
          <w:kern w:val="0"/>
          <w:sz w:val="28"/>
          <w:szCs w:val="28"/>
        </w:rPr>
        <w:t>被抽查企业在收到检验结果，对结果有异议时，</w:t>
      </w:r>
      <w:r>
        <w:rPr>
          <w:rFonts w:ascii="仿宋_GB2312" w:eastAsia="仿宋_GB2312" w:cs="Sim Sun"/>
          <w:iCs/>
          <w:color w:val="000000" w:themeColor="text1"/>
          <w:kern w:val="0"/>
          <w:sz w:val="28"/>
          <w:szCs w:val="28"/>
        </w:rPr>
        <w:t>可以自收到检验结果之日起15日内向</w:t>
      </w:r>
      <w:r>
        <w:rPr>
          <w:rFonts w:hint="eastAsia" w:ascii="仿宋_GB2312" w:eastAsia="仿宋_GB2312" w:cs="Sim Sun"/>
          <w:iCs/>
          <w:color w:val="000000" w:themeColor="text1"/>
          <w:kern w:val="0"/>
          <w:sz w:val="28"/>
          <w:szCs w:val="28"/>
        </w:rPr>
        <w:t>深圳市市场监督管理局</w:t>
      </w:r>
      <w:r>
        <w:rPr>
          <w:rFonts w:ascii="仿宋_GB2312" w:eastAsia="仿宋_GB2312" w:cs="Sim Sun"/>
          <w:iCs/>
          <w:color w:val="000000" w:themeColor="text1"/>
          <w:kern w:val="0"/>
          <w:sz w:val="28"/>
          <w:szCs w:val="28"/>
        </w:rPr>
        <w:t>提出书面复检申请。逾期未提出异议的，视为承认检验结果。</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.2</w:t>
      </w:r>
      <w:r>
        <w:rPr>
          <w:rFonts w:ascii="仿宋_GB2312" w:eastAsia="仿宋_GB2312" w:cs="Sim Sun"/>
          <w:iCs/>
          <w:color w:val="000000" w:themeColor="text1"/>
          <w:kern w:val="0"/>
          <w:sz w:val="28"/>
          <w:szCs w:val="28"/>
        </w:rPr>
        <w:t>检验机构</w:t>
      </w:r>
      <w:r>
        <w:rPr>
          <w:rFonts w:hint="eastAsia" w:ascii="仿宋_GB2312" w:eastAsia="仿宋_GB2312" w:cs="Sim Sun"/>
          <w:iCs/>
          <w:color w:val="000000" w:themeColor="text1"/>
          <w:kern w:val="0"/>
          <w:sz w:val="28"/>
          <w:szCs w:val="28"/>
        </w:rPr>
        <w:t>接到深圳市市场监督管理局的复检通知后</w:t>
      </w:r>
      <w:r>
        <w:rPr>
          <w:rFonts w:ascii="仿宋_GB2312" w:eastAsia="仿宋_GB2312" w:cs="Sim Sun"/>
          <w:iCs/>
          <w:color w:val="000000" w:themeColor="text1"/>
          <w:kern w:val="0"/>
          <w:sz w:val="28"/>
          <w:szCs w:val="28"/>
        </w:rPr>
        <w:t>应当按原监督抽查方案</w:t>
      </w:r>
      <w:r>
        <w:rPr>
          <w:rFonts w:hint="eastAsia" w:ascii="仿宋_GB2312" w:eastAsia="仿宋_GB2312" w:cs="Sim Sun"/>
          <w:iCs/>
          <w:color w:val="000000" w:themeColor="text1"/>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000000" w:themeColor="text1"/>
          <w:kern w:val="0"/>
          <w:sz w:val="28"/>
          <w:szCs w:val="28"/>
        </w:rPr>
        <w:t>的结论。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w:t>
      </w:r>
      <w:r>
        <w:rPr>
          <w:rFonts w:ascii="仿宋_GB2312" w:eastAsia="仿宋_GB2312" w:cs="Sim Sun"/>
          <w:b/>
          <w:color w:val="000000" w:themeColor="text1"/>
          <w:kern w:val="0"/>
          <w:sz w:val="28"/>
          <w:szCs w:val="28"/>
        </w:rPr>
        <w:t>3</w:t>
      </w:r>
      <w:r>
        <w:rPr>
          <w:rFonts w:hint="eastAsia" w:ascii="仿宋_GB2312" w:eastAsia="仿宋_GB2312" w:cs="Sim Sun"/>
          <w:iCs/>
          <w:color w:val="000000" w:themeColor="text1"/>
          <w:kern w:val="0"/>
          <w:sz w:val="28"/>
          <w:szCs w:val="28"/>
        </w:rPr>
        <w:t>复检</w:t>
      </w:r>
      <w:r>
        <w:rPr>
          <w:rFonts w:ascii="仿宋_GB2312" w:eastAsia="仿宋_GB2312" w:cs="Sim Sun"/>
          <w:iCs/>
          <w:color w:val="000000" w:themeColor="text1"/>
          <w:kern w:val="0"/>
          <w:sz w:val="28"/>
          <w:szCs w:val="28"/>
        </w:rPr>
        <w:t>检验人员与初检检验人员不得为同一人。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8.4</w:t>
      </w:r>
      <w:r>
        <w:rPr>
          <w:rFonts w:hint="eastAsia" w:ascii="仿宋_GB2312" w:eastAsia="仿宋_GB2312" w:cs="Sim Sun"/>
          <w:color w:val="000000" w:themeColor="text1"/>
          <w:kern w:val="0"/>
          <w:sz w:val="28"/>
          <w:szCs w:val="28"/>
        </w:rPr>
        <w:t>需对不合格项目复检时，按6.1选择复检样品。当复检结果仍不合格，维持原检验结果不变。当复检结果合格，以复检结果为准。</w:t>
      </w:r>
    </w:p>
    <w:p>
      <w:pPr>
        <w:snapToGrid w:val="0"/>
        <w:spacing w:line="360" w:lineRule="auto"/>
        <w:rPr>
          <w:rFonts w:ascii="仿宋_GB2312" w:eastAsia="仿宋_GB2312" w:cs="Sim Sun"/>
          <w:b/>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5</w:t>
      </w:r>
      <w:r>
        <w:rPr>
          <w:rFonts w:ascii="仿宋_GB2312" w:eastAsia="仿宋_GB2312" w:cs="Sim Sun"/>
          <w:color w:val="000000" w:themeColor="text1"/>
          <w:kern w:val="0"/>
          <w:sz w:val="28"/>
          <w:szCs w:val="28"/>
        </w:rPr>
        <w:t>采用备样复检时，</w:t>
      </w:r>
      <w:r>
        <w:rPr>
          <w:rFonts w:hint="eastAsia" w:ascii="仿宋_GB2312" w:eastAsia="仿宋_GB2312" w:cs="Sim Sun"/>
          <w:color w:val="000000" w:themeColor="text1"/>
          <w:kern w:val="0"/>
          <w:sz w:val="28"/>
          <w:szCs w:val="28"/>
        </w:rPr>
        <w:t>若备样与原样的结构、布线、元器件等不一致时，检验结果以原检验结果为准。</w:t>
      </w:r>
    </w:p>
    <w:p>
      <w:pPr>
        <w:snapToGrid w:val="0"/>
        <w:spacing w:line="360" w:lineRule="auto"/>
        <w:rPr>
          <w:rFonts w:ascii="仿宋_GB2312" w:eastAsia="仿宋_GB2312" w:cs="Sim Sun"/>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6</w:t>
      </w:r>
      <w:r>
        <w:rPr>
          <w:rFonts w:hint="eastAsia" w:ascii="仿宋_GB2312" w:eastAsia="仿宋_GB2312" w:cs="Sim Sun"/>
          <w:iCs/>
          <w:color w:val="000000" w:themeColor="text1"/>
          <w:kern w:val="0"/>
          <w:sz w:val="28"/>
          <w:szCs w:val="28"/>
        </w:rPr>
        <w:t>深圳市市场监督管理局根据初检</w:t>
      </w:r>
      <w:r>
        <w:rPr>
          <w:rFonts w:ascii="仿宋_GB2312" w:eastAsia="仿宋_GB2312" w:cs="Sim Sun"/>
          <w:iCs/>
          <w:color w:val="000000" w:themeColor="text1"/>
          <w:kern w:val="0"/>
          <w:sz w:val="28"/>
          <w:szCs w:val="28"/>
        </w:rPr>
        <w:t>、复检结果及企业提交的</w:t>
      </w:r>
      <w:r>
        <w:rPr>
          <w:rFonts w:hint="eastAsia" w:ascii="仿宋_GB2312" w:eastAsia="仿宋_GB2312" w:cs="Sim Sun"/>
          <w:iCs/>
          <w:color w:val="000000" w:themeColor="text1"/>
          <w:kern w:val="0"/>
          <w:sz w:val="28"/>
          <w:szCs w:val="28"/>
        </w:rPr>
        <w:t>证明</w:t>
      </w:r>
      <w:r>
        <w:rPr>
          <w:rFonts w:ascii="仿宋_GB2312" w:eastAsia="仿宋_GB2312" w:cs="Sim Sun"/>
          <w:iCs/>
          <w:color w:val="000000" w:themeColor="text1"/>
          <w:kern w:val="0"/>
          <w:sz w:val="28"/>
          <w:szCs w:val="28"/>
        </w:rPr>
        <w:t>材料，做出复检结论</w:t>
      </w:r>
      <w:r>
        <w:rPr>
          <w:rFonts w:hint="eastAsia" w:ascii="仿宋_GB2312" w:eastAsia="仿宋_GB2312" w:cs="Sim Sun"/>
          <w:iCs/>
          <w:color w:val="000000" w:themeColor="text1"/>
          <w:kern w:val="0"/>
          <w:sz w:val="28"/>
          <w:szCs w:val="28"/>
        </w:rPr>
        <w:t>，</w:t>
      </w:r>
      <w:r>
        <w:rPr>
          <w:rFonts w:ascii="仿宋_GB2312" w:eastAsia="仿宋_GB2312" w:cs="Sim Sun"/>
          <w:iCs/>
          <w:color w:val="000000" w:themeColor="text1"/>
          <w:kern w:val="0"/>
          <w:sz w:val="28"/>
          <w:szCs w:val="28"/>
        </w:rPr>
        <w:t>复检结论为最终结论。</w:t>
      </w:r>
    </w:p>
    <w:p>
      <w:pPr>
        <w:snapToGrid w:val="0"/>
        <w:spacing w:line="360" w:lineRule="auto"/>
        <w:rPr>
          <w:rFonts w:ascii="仿宋_GB2312" w:hAnsi="宋体" w:eastAsia="仿宋_GB2312"/>
          <w:b/>
          <w:color w:val="000000" w:themeColor="text1"/>
          <w:sz w:val="28"/>
          <w:szCs w:val="28"/>
        </w:rPr>
      </w:pPr>
      <w:r>
        <w:rPr>
          <w:rFonts w:ascii="仿宋_GB2312" w:hAnsi="宋体" w:eastAsia="仿宋_GB2312"/>
          <w:b/>
          <w:color w:val="000000" w:themeColor="text1"/>
          <w:sz w:val="28"/>
          <w:szCs w:val="28"/>
        </w:rPr>
        <w:t>9</w:t>
      </w:r>
      <w:r>
        <w:rPr>
          <w:rFonts w:hint="eastAsia" w:ascii="仿宋_GB2312" w:hAnsi="宋体" w:eastAsia="仿宋_GB2312"/>
          <w:b/>
          <w:color w:val="000000" w:themeColor="text1"/>
          <w:sz w:val="28"/>
          <w:szCs w:val="28"/>
        </w:rPr>
        <w:t xml:space="preserve"> 附则</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本规范编制单位：</w:t>
      </w:r>
      <w:r>
        <w:rPr>
          <w:rFonts w:hint="eastAsia" w:ascii="仿宋_GB2312" w:eastAsia="仿宋_GB2312"/>
          <w:color w:val="000000" w:themeColor="text1"/>
          <w:sz w:val="28"/>
          <w:szCs w:val="28"/>
        </w:rPr>
        <w:t>深圳市计量质量检测研究院</w:t>
      </w:r>
      <w:r>
        <w:rPr>
          <w:rFonts w:hint="eastAsia" w:ascii="仿宋_GB2312" w:hAnsi="宋体" w:eastAsia="仿宋_GB2312"/>
          <w:color w:val="000000" w:themeColor="text1"/>
          <w:sz w:val="28"/>
          <w:szCs w:val="28"/>
        </w:rPr>
        <w:t>。</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本规范由</w:t>
      </w:r>
      <w:r>
        <w:rPr>
          <w:rFonts w:hint="eastAsia" w:ascii="仿宋_GB2312" w:hAnsi="宋体" w:eastAsia="仿宋_GB2312"/>
          <w:iCs/>
          <w:color w:val="000000" w:themeColor="text1"/>
          <w:sz w:val="28"/>
          <w:szCs w:val="28"/>
        </w:rPr>
        <w:t>深圳市市场监督管理局质量处</w:t>
      </w:r>
      <w:r>
        <w:rPr>
          <w:rFonts w:hint="eastAsia" w:ascii="仿宋_GB2312" w:hAnsi="宋体" w:eastAsia="仿宋_GB2312"/>
          <w:color w:val="000000" w:themeColor="text1"/>
          <w:sz w:val="28"/>
          <w:szCs w:val="28"/>
        </w:rPr>
        <w:t>管理。</w:t>
      </w:r>
    </w:p>
    <w:p>
      <w:pPr>
        <w:widowControl/>
        <w:jc w:val="left"/>
        <w:rPr>
          <w:rFonts w:ascii="黑体" w:hAnsi="宋体" w:eastAsia="黑体" w:cs="Times New Roman"/>
          <w:color w:val="000000" w:themeColor="text1"/>
          <w:sz w:val="32"/>
          <w:szCs w:val="32"/>
        </w:rPr>
      </w:pPr>
    </w:p>
    <w:p>
      <w:pPr>
        <w:spacing w:line="360" w:lineRule="auto"/>
        <w:rPr>
          <w:color w:val="000000" w:themeColor="text1"/>
        </w:rPr>
      </w:pPr>
      <w:bookmarkStart w:id="1" w:name="_GoBack"/>
      <w:bookmarkEnd w:id="1"/>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20391"/>
    <w:rsid w:val="00045AEC"/>
    <w:rsid w:val="00081B9C"/>
    <w:rsid w:val="00091CF5"/>
    <w:rsid w:val="000C351E"/>
    <w:rsid w:val="000F6AD9"/>
    <w:rsid w:val="0011498E"/>
    <w:rsid w:val="0013134A"/>
    <w:rsid w:val="001331CD"/>
    <w:rsid w:val="00156112"/>
    <w:rsid w:val="00165FFF"/>
    <w:rsid w:val="001677AE"/>
    <w:rsid w:val="00171B3D"/>
    <w:rsid w:val="00187CF0"/>
    <w:rsid w:val="001A7241"/>
    <w:rsid w:val="001B1B68"/>
    <w:rsid w:val="00201CFD"/>
    <w:rsid w:val="002411B1"/>
    <w:rsid w:val="002445BF"/>
    <w:rsid w:val="00245EBE"/>
    <w:rsid w:val="002659A7"/>
    <w:rsid w:val="00266F51"/>
    <w:rsid w:val="00267E0A"/>
    <w:rsid w:val="00273055"/>
    <w:rsid w:val="0028178E"/>
    <w:rsid w:val="002C4289"/>
    <w:rsid w:val="002D3192"/>
    <w:rsid w:val="00305CBA"/>
    <w:rsid w:val="003110CC"/>
    <w:rsid w:val="00327A52"/>
    <w:rsid w:val="003575D8"/>
    <w:rsid w:val="003725E7"/>
    <w:rsid w:val="00393289"/>
    <w:rsid w:val="003C38DD"/>
    <w:rsid w:val="004144CB"/>
    <w:rsid w:val="00440B3B"/>
    <w:rsid w:val="00442803"/>
    <w:rsid w:val="00451A9C"/>
    <w:rsid w:val="00451F77"/>
    <w:rsid w:val="00455F50"/>
    <w:rsid w:val="00457393"/>
    <w:rsid w:val="004864E2"/>
    <w:rsid w:val="0049380F"/>
    <w:rsid w:val="004C1287"/>
    <w:rsid w:val="004C1334"/>
    <w:rsid w:val="004E7D91"/>
    <w:rsid w:val="00520B39"/>
    <w:rsid w:val="00544B94"/>
    <w:rsid w:val="00545A12"/>
    <w:rsid w:val="00550CE0"/>
    <w:rsid w:val="005A6632"/>
    <w:rsid w:val="005B31B5"/>
    <w:rsid w:val="005D4455"/>
    <w:rsid w:val="005D54BD"/>
    <w:rsid w:val="006037FD"/>
    <w:rsid w:val="0064613E"/>
    <w:rsid w:val="0064797C"/>
    <w:rsid w:val="00651A53"/>
    <w:rsid w:val="006575FA"/>
    <w:rsid w:val="00662C61"/>
    <w:rsid w:val="0066561D"/>
    <w:rsid w:val="00676815"/>
    <w:rsid w:val="00694207"/>
    <w:rsid w:val="006C3325"/>
    <w:rsid w:val="00711A62"/>
    <w:rsid w:val="00721D0B"/>
    <w:rsid w:val="007311E2"/>
    <w:rsid w:val="00757BD9"/>
    <w:rsid w:val="007614CE"/>
    <w:rsid w:val="0076203D"/>
    <w:rsid w:val="00776E2E"/>
    <w:rsid w:val="00792284"/>
    <w:rsid w:val="007C0F87"/>
    <w:rsid w:val="00812E24"/>
    <w:rsid w:val="00834637"/>
    <w:rsid w:val="00842D30"/>
    <w:rsid w:val="00845C8F"/>
    <w:rsid w:val="00864A08"/>
    <w:rsid w:val="00866E1E"/>
    <w:rsid w:val="0087352D"/>
    <w:rsid w:val="00874A6C"/>
    <w:rsid w:val="00880A85"/>
    <w:rsid w:val="00886BC3"/>
    <w:rsid w:val="0089623D"/>
    <w:rsid w:val="008A673C"/>
    <w:rsid w:val="008D31E8"/>
    <w:rsid w:val="00904E14"/>
    <w:rsid w:val="00917DB8"/>
    <w:rsid w:val="00995CCA"/>
    <w:rsid w:val="009A07C5"/>
    <w:rsid w:val="009C09F5"/>
    <w:rsid w:val="009F5E44"/>
    <w:rsid w:val="00A04793"/>
    <w:rsid w:val="00A13092"/>
    <w:rsid w:val="00A17997"/>
    <w:rsid w:val="00A27C03"/>
    <w:rsid w:val="00A679C5"/>
    <w:rsid w:val="00A77D82"/>
    <w:rsid w:val="00A93AEE"/>
    <w:rsid w:val="00AA2557"/>
    <w:rsid w:val="00AB00BE"/>
    <w:rsid w:val="00AB2124"/>
    <w:rsid w:val="00AC2428"/>
    <w:rsid w:val="00AD41D2"/>
    <w:rsid w:val="00AE6A3C"/>
    <w:rsid w:val="00B13CAF"/>
    <w:rsid w:val="00B47E10"/>
    <w:rsid w:val="00B8102A"/>
    <w:rsid w:val="00B82839"/>
    <w:rsid w:val="00B96E12"/>
    <w:rsid w:val="00BA0657"/>
    <w:rsid w:val="00BD4B24"/>
    <w:rsid w:val="00BE5675"/>
    <w:rsid w:val="00C16673"/>
    <w:rsid w:val="00C16E50"/>
    <w:rsid w:val="00C42D90"/>
    <w:rsid w:val="00C5760C"/>
    <w:rsid w:val="00C91CE2"/>
    <w:rsid w:val="00CF46C3"/>
    <w:rsid w:val="00CF4D8B"/>
    <w:rsid w:val="00D0449B"/>
    <w:rsid w:val="00D32A3E"/>
    <w:rsid w:val="00D43CD3"/>
    <w:rsid w:val="00D54DD1"/>
    <w:rsid w:val="00D721B4"/>
    <w:rsid w:val="00D90D50"/>
    <w:rsid w:val="00D943E2"/>
    <w:rsid w:val="00DC1E0B"/>
    <w:rsid w:val="00DC4635"/>
    <w:rsid w:val="00DD1CDC"/>
    <w:rsid w:val="00DD2244"/>
    <w:rsid w:val="00DD39C9"/>
    <w:rsid w:val="00DE6471"/>
    <w:rsid w:val="00E111A4"/>
    <w:rsid w:val="00E42CE1"/>
    <w:rsid w:val="00E766E9"/>
    <w:rsid w:val="00E84505"/>
    <w:rsid w:val="00EB0A44"/>
    <w:rsid w:val="00EB22D7"/>
    <w:rsid w:val="00EB3A65"/>
    <w:rsid w:val="00EB5ABF"/>
    <w:rsid w:val="00EE565F"/>
    <w:rsid w:val="00F03FA6"/>
    <w:rsid w:val="00F2627D"/>
    <w:rsid w:val="00F336D3"/>
    <w:rsid w:val="00F35B1E"/>
    <w:rsid w:val="00F4112B"/>
    <w:rsid w:val="00F4546E"/>
    <w:rsid w:val="00F56B0F"/>
    <w:rsid w:val="00FE2995"/>
    <w:rsid w:val="00FE73FE"/>
    <w:rsid w:val="00FF3F61"/>
    <w:rsid w:val="1946546D"/>
    <w:rsid w:val="29A6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uiPriority w:val="99"/>
    <w:pPr>
      <w:ind w:left="100" w:leftChars="2500"/>
    </w:pPr>
  </w:style>
  <w:style w:type="paragraph" w:styleId="7">
    <w:name w:val="Body Text Indent 2"/>
    <w:basedOn w:val="1"/>
    <w:link w:val="26"/>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uiPriority w:val="0"/>
    <w:pPr>
      <w:spacing w:after="120"/>
      <w:ind w:left="420" w:leftChars="200"/>
    </w:pPr>
    <w:rPr>
      <w:rFonts w:ascii="Times New Roman" w:hAnsi="Times New Roman" w:eastAsia="宋体" w:cs="Times New Roman"/>
      <w:sz w:val="16"/>
      <w:szCs w:val="16"/>
    </w:rPr>
  </w:style>
  <w:style w:type="paragraph" w:styleId="12">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uiPriority w:val="0"/>
    <w:rPr>
      <w:sz w:val="21"/>
      <w:szCs w:val="21"/>
    </w:rPr>
  </w:style>
  <w:style w:type="table" w:styleId="18">
    <w:name w:val="Table Grid"/>
    <w:basedOn w:val="17"/>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uiPriority w:val="0"/>
    <w:rPr>
      <w:rFonts w:ascii="Times New Roman" w:hAnsi="Times New Roman" w:eastAsia="宋体" w:cs="Times New Roman"/>
      <w:kern w:val="0"/>
      <w:sz w:val="24"/>
      <w:szCs w:val="20"/>
    </w:rPr>
  </w:style>
  <w:style w:type="character" w:customStyle="1" w:styleId="23">
    <w:name w:val="批注框文本 Char"/>
    <w:basedOn w:val="13"/>
    <w:link w:val="8"/>
    <w:semiHidden/>
    <w:uiPriority w:val="0"/>
    <w:rPr>
      <w:rFonts w:ascii="Times New Roman" w:hAnsi="Times New Roman" w:eastAsia="宋体" w:cs="Times New Roman"/>
      <w:sz w:val="18"/>
      <w:szCs w:val="18"/>
    </w:rPr>
  </w:style>
  <w:style w:type="paragraph" w:customStyle="1" w:styleId="24">
    <w:name w:val="Char1"/>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uiPriority w:val="0"/>
    <w:rPr>
      <w:rFonts w:ascii="宋体" w:hAnsi="Courier New" w:eastAsia="宋体" w:cs="Times New Roman"/>
      <w:szCs w:val="21"/>
    </w:rPr>
  </w:style>
  <w:style w:type="character" w:customStyle="1" w:styleId="26">
    <w:name w:val="正文文本缩进 2 Char"/>
    <w:basedOn w:val="13"/>
    <w:link w:val="7"/>
    <w:uiPriority w:val="0"/>
    <w:rPr>
      <w:rFonts w:ascii="Times New Roman" w:hAnsi="Times New Roman" w:eastAsia="宋体" w:cs="Times New Roman"/>
      <w:szCs w:val="24"/>
    </w:rPr>
  </w:style>
  <w:style w:type="character" w:customStyle="1" w:styleId="27">
    <w:name w:val="正文文本缩进 3 Char"/>
    <w:basedOn w:val="13"/>
    <w:link w:val="11"/>
    <w:uiPriority w:val="0"/>
    <w:rPr>
      <w:rFonts w:ascii="Times New Roman" w:hAnsi="Times New Roman" w:eastAsia="宋体" w:cs="Times New Roman"/>
      <w:sz w:val="16"/>
      <w:szCs w:val="16"/>
    </w:rPr>
  </w:style>
  <w:style w:type="character" w:customStyle="1" w:styleId="28">
    <w:name w:val="批注文字 Char"/>
    <w:basedOn w:val="13"/>
    <w:link w:val="3"/>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C2086-69F9-48E0-81F1-D6AC7DEADA4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17</Pages>
  <Words>1298</Words>
  <Characters>7402</Characters>
  <Lines>61</Lines>
  <Paragraphs>17</Paragraphs>
  <TotalTime>0</TotalTime>
  <ScaleCrop>false</ScaleCrop>
  <LinksUpToDate>false</LinksUpToDate>
  <CharactersWithSpaces>8683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2019-03-14T05:49:00Z</dcterms:created>
  <dc:creator>张嘉欢</dc:creator>
  <cp:lastModifiedBy>常孟园</cp:lastModifiedBy>
  <dcterms:modified xsi:type="dcterms:W3CDTF">2019-05-23T06:10:53Z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