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beforeLines="75" w:line="360" w:lineRule="auto"/>
        <w:jc w:val="center"/>
        <w:rPr>
          <w:rFonts w:ascii="黑体" w:hAnsi="黑体" w:eastAsia="黑体"/>
          <w:sz w:val="36"/>
          <w:szCs w:val="36"/>
        </w:rPr>
      </w:pPr>
      <w:r>
        <w:rPr>
          <w:rFonts w:hint="eastAsia" w:ascii="黑体" w:hAnsi="黑体" w:eastAsia="黑体"/>
          <w:sz w:val="36"/>
          <w:szCs w:val="36"/>
        </w:rPr>
        <w:t>电磁灶产品质量监督抽查实施规范</w:t>
      </w:r>
    </w:p>
    <w:p>
      <w:pPr>
        <w:spacing w:beforeLines="75" w:line="360" w:lineRule="auto"/>
        <w:jc w:val="center"/>
        <w:rPr>
          <w:rFonts w:ascii="黑体" w:hAnsi="黑体" w:eastAsia="黑体"/>
          <w:color w:val="000000"/>
          <w:sz w:val="28"/>
        </w:rPr>
      </w:pPr>
      <w:r>
        <w:rPr>
          <w:rFonts w:hint="eastAsia" w:ascii="黑体" w:hAnsi="黑体" w:eastAsia="黑体"/>
          <w:sz w:val="28"/>
        </w:rPr>
        <w:t>编号</w:t>
      </w:r>
      <w:r>
        <w:rPr>
          <w:rFonts w:ascii="黑体" w:hAnsi="黑体" w:eastAsia="黑体"/>
          <w:sz w:val="28"/>
        </w:rPr>
        <w:t>：CCGF-SZ</w:t>
      </w:r>
      <w:r>
        <w:rPr>
          <w:rFonts w:ascii="黑体" w:hAnsi="黑体" w:eastAsia="黑体"/>
          <w:color w:val="000000"/>
          <w:sz w:val="28"/>
        </w:rPr>
        <w:t>-</w:t>
      </w:r>
      <w:r>
        <w:rPr>
          <w:rFonts w:hint="eastAsia" w:ascii="黑体" w:hAnsi="黑体" w:eastAsia="黑体"/>
          <w:color w:val="000000"/>
          <w:sz w:val="28"/>
        </w:rPr>
        <w:t>039</w:t>
      </w:r>
      <w:r>
        <w:rPr>
          <w:rFonts w:ascii="黑体" w:hAnsi="黑体" w:eastAsia="黑体"/>
          <w:color w:val="000000"/>
          <w:sz w:val="28"/>
        </w:rPr>
        <w:t>-</w:t>
      </w:r>
      <w:r>
        <w:rPr>
          <w:rFonts w:hint="eastAsia" w:ascii="黑体" w:hAnsi="黑体" w:eastAsia="黑体"/>
          <w:color w:val="000000"/>
          <w:sz w:val="28"/>
        </w:rPr>
        <w:t>2019</w:t>
      </w:r>
    </w:p>
    <w:p>
      <w:pPr>
        <w:snapToGrid w:val="0"/>
        <w:spacing w:line="360" w:lineRule="auto"/>
        <w:rPr>
          <w:rFonts w:ascii="宋体" w:hAnsi="宋体" w:eastAsia="宋体" w:cs="Times New Roman"/>
          <w:color w:val="000000"/>
          <w:sz w:val="24"/>
        </w:rPr>
      </w:pPr>
    </w:p>
    <w:p>
      <w:pPr>
        <w:snapToGrid w:val="0"/>
        <w:spacing w:line="360" w:lineRule="auto"/>
        <w:rPr>
          <w:rFonts w:ascii="仿宋_GB2312" w:hAnsi="宋体" w:eastAsia="仿宋_GB2312" w:cs="Times New Roman"/>
          <w:b/>
          <w:szCs w:val="21"/>
        </w:rPr>
      </w:pP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1 适用范围</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本规范适用于深圳市生产及流通领域电磁灶产品质量监督抽查。监督抽查产品范围适用于：额定电压不超过250V的家用和类似用途的电磁灶，含</w:t>
      </w:r>
      <w:r>
        <w:rPr>
          <w:rFonts w:hint="eastAsia" w:ascii="仿宋_GB2312" w:hAnsi="宋体" w:eastAsia="仿宋_GB2312"/>
          <w:color w:val="000000" w:themeColor="text1"/>
          <w:sz w:val="28"/>
          <w:szCs w:val="28"/>
        </w:rPr>
        <w:t>便携式电磁灶、驻立式电磁灶</w:t>
      </w:r>
      <w:r>
        <w:rPr>
          <w:rFonts w:hint="eastAsia" w:ascii="仿宋_GB2312" w:hAnsi="宋体" w:eastAsia="仿宋_GB2312" w:cs="Times New Roman"/>
          <w:sz w:val="28"/>
          <w:szCs w:val="28"/>
        </w:rPr>
        <w:t>。</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2产品种类</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产品种类见表1。</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表1  产品种类</w:t>
      </w:r>
    </w:p>
    <w:tbl>
      <w:tblPr>
        <w:tblStyle w:val="17"/>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blHeader/>
          <w:jc w:val="center"/>
        </w:trPr>
        <w:tc>
          <w:tcPr>
            <w:tcW w:w="1965" w:type="dxa"/>
            <w:vAlign w:val="center"/>
          </w:tcPr>
          <w:p>
            <w:pPr>
              <w:snapToGrid w:val="0"/>
              <w:spacing w:line="300" w:lineRule="exact"/>
              <w:jc w:val="center"/>
              <w:rPr>
                <w:rFonts w:ascii="黑体" w:hAnsi="黑体" w:eastAsia="黑体" w:cs="Times New Roman"/>
                <w:sz w:val="24"/>
                <w:szCs w:val="21"/>
              </w:rPr>
            </w:pPr>
            <w:r>
              <w:rPr>
                <w:rFonts w:hint="eastAsia" w:ascii="黑体" w:hAnsi="黑体" w:eastAsia="黑体" w:cs="Times New Roman"/>
                <w:sz w:val="24"/>
                <w:szCs w:val="21"/>
              </w:rPr>
              <w:t>产品种类</w:t>
            </w:r>
          </w:p>
        </w:tc>
        <w:tc>
          <w:tcPr>
            <w:tcW w:w="6305" w:type="dxa"/>
            <w:vAlign w:val="center"/>
          </w:tcPr>
          <w:p>
            <w:pPr>
              <w:snapToGrid w:val="0"/>
              <w:spacing w:line="300" w:lineRule="exact"/>
              <w:jc w:val="center"/>
              <w:rPr>
                <w:rFonts w:ascii="黑体" w:hAnsi="黑体" w:eastAsia="黑体" w:cs="Times New Roman"/>
                <w:sz w:val="24"/>
                <w:szCs w:val="21"/>
              </w:rPr>
            </w:pPr>
            <w:r>
              <w:rPr>
                <w:rFonts w:hint="eastAsia" w:ascii="黑体" w:hAnsi="黑体" w:eastAsia="黑体" w:cs="Times New Roman"/>
                <w:sz w:val="24"/>
                <w:szCs w:val="21"/>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965" w:type="dxa"/>
            <w:vAlign w:val="center"/>
          </w:tcPr>
          <w:p>
            <w:pPr>
              <w:autoSpaceDE w:val="0"/>
              <w:autoSpaceDN w:val="0"/>
              <w:adjustRightIn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t>电磁灶</w:t>
            </w:r>
          </w:p>
        </w:tc>
        <w:tc>
          <w:tcPr>
            <w:tcW w:w="6305" w:type="dxa"/>
            <w:vAlign w:val="center"/>
          </w:tcPr>
          <w:p>
            <w:pPr>
              <w:autoSpaceDE w:val="0"/>
              <w:autoSpaceDN w:val="0"/>
              <w:adjustRightInd w:val="0"/>
              <w:spacing w:line="360" w:lineRule="auto"/>
              <w:rPr>
                <w:rFonts w:ascii="仿宋_GB2312" w:hAnsi="宋体" w:eastAsia="仿宋_GB2312" w:cs="Times New Roman"/>
                <w:sz w:val="24"/>
                <w:szCs w:val="21"/>
              </w:rPr>
            </w:pPr>
            <w:r>
              <w:rPr>
                <w:rFonts w:hint="eastAsia" w:ascii="仿宋_GB2312" w:hAnsi="宋体" w:eastAsia="仿宋_GB2312" w:cs="Times New Roman"/>
                <w:sz w:val="24"/>
                <w:szCs w:val="21"/>
              </w:rPr>
              <w:t>便携式电磁灶、驻立式电磁灶</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3 术语和定义</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术语和定义见表2。</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表2 术语和定义</w:t>
      </w:r>
    </w:p>
    <w:tbl>
      <w:tblPr>
        <w:tblStyle w:val="17"/>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blHeader/>
          <w:jc w:val="center"/>
        </w:trPr>
        <w:tc>
          <w:tcPr>
            <w:tcW w:w="1963" w:type="dxa"/>
            <w:vAlign w:val="center"/>
          </w:tcPr>
          <w:p>
            <w:pPr>
              <w:snapToGrid w:val="0"/>
              <w:spacing w:line="300" w:lineRule="exact"/>
              <w:jc w:val="center"/>
              <w:rPr>
                <w:rFonts w:ascii="黑体" w:hAnsi="黑体" w:eastAsia="黑体" w:cs="Times New Roman"/>
                <w:sz w:val="24"/>
                <w:szCs w:val="21"/>
              </w:rPr>
            </w:pPr>
            <w:r>
              <w:rPr>
                <w:rFonts w:hint="eastAsia" w:ascii="黑体" w:hAnsi="黑体" w:eastAsia="黑体" w:cs="Times New Roman"/>
                <w:sz w:val="24"/>
                <w:szCs w:val="21"/>
              </w:rPr>
              <w:t>产品种类</w:t>
            </w:r>
          </w:p>
        </w:tc>
        <w:tc>
          <w:tcPr>
            <w:tcW w:w="6447" w:type="dxa"/>
            <w:vAlign w:val="center"/>
          </w:tcPr>
          <w:p>
            <w:pPr>
              <w:snapToGrid w:val="0"/>
              <w:spacing w:line="300" w:lineRule="exact"/>
              <w:jc w:val="center"/>
              <w:rPr>
                <w:rFonts w:ascii="黑体" w:hAnsi="黑体" w:eastAsia="黑体" w:cs="Times New Roman"/>
                <w:sz w:val="24"/>
                <w:szCs w:val="21"/>
              </w:rPr>
            </w:pPr>
            <w:r>
              <w:rPr>
                <w:rFonts w:hint="eastAsia" w:ascii="黑体" w:hAnsi="黑体" w:eastAsia="黑体" w:cs="Times New Roman"/>
                <w:sz w:val="24"/>
                <w:szCs w:val="21"/>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963" w:type="dxa"/>
            <w:vAlign w:val="center"/>
          </w:tcPr>
          <w:p>
            <w:pPr>
              <w:snapToGri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t>电磁灶</w:t>
            </w:r>
          </w:p>
        </w:tc>
        <w:tc>
          <w:tcPr>
            <w:tcW w:w="6447" w:type="dxa"/>
            <w:vAlign w:val="center"/>
          </w:tcPr>
          <w:p>
            <w:pPr>
              <w:snapToGrid w:val="0"/>
              <w:spacing w:line="300" w:lineRule="exact"/>
              <w:rPr>
                <w:rFonts w:ascii="仿宋_GB2312" w:hAnsi="宋体" w:eastAsia="仿宋_GB2312" w:cs="Times New Roman"/>
                <w:sz w:val="24"/>
                <w:szCs w:val="21"/>
              </w:rPr>
            </w:pPr>
            <w:r>
              <w:rPr>
                <w:rFonts w:hint="eastAsia" w:ascii="仿宋_GB2312" w:hAnsi="宋体" w:eastAsia="仿宋_GB2312" w:cs="Times New Roman"/>
                <w:sz w:val="24"/>
                <w:szCs w:val="21"/>
              </w:rPr>
              <w:t>额定电压不超过250V的家用和类似用途电磁灶产品，以及气、电组合家用和类似用途灶具中的电磁加热部分产品。</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4 检验依据</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检验依据见表3。</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表3 检验依据</w:t>
      </w:r>
    </w:p>
    <w:tbl>
      <w:tblPr>
        <w:tblStyle w:val="17"/>
        <w:tblW w:w="9389" w:type="dxa"/>
        <w:jc w:val="center"/>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4623"/>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114" w:type="dxa"/>
            <w:shd w:val="clear" w:color="auto" w:fill="auto"/>
            <w:vAlign w:val="center"/>
          </w:tcPr>
          <w:p>
            <w:pPr>
              <w:snapToGrid w:val="0"/>
              <w:spacing w:line="300" w:lineRule="exact"/>
              <w:jc w:val="center"/>
              <w:rPr>
                <w:rFonts w:ascii="黑体" w:hAnsi="黑体" w:eastAsia="黑体" w:cs="Times New Roman"/>
                <w:sz w:val="24"/>
                <w:szCs w:val="21"/>
              </w:rPr>
            </w:pPr>
            <w:r>
              <w:rPr>
                <w:rFonts w:hint="eastAsia" w:ascii="黑体" w:hAnsi="黑体" w:eastAsia="黑体" w:cs="Times New Roman"/>
                <w:sz w:val="24"/>
                <w:szCs w:val="21"/>
              </w:rPr>
              <w:t>标准号</w:t>
            </w:r>
          </w:p>
        </w:tc>
        <w:tc>
          <w:tcPr>
            <w:tcW w:w="4623" w:type="dxa"/>
            <w:shd w:val="clear" w:color="auto" w:fill="auto"/>
            <w:vAlign w:val="center"/>
          </w:tcPr>
          <w:p>
            <w:pPr>
              <w:snapToGrid w:val="0"/>
              <w:spacing w:line="300" w:lineRule="exact"/>
              <w:jc w:val="center"/>
              <w:rPr>
                <w:rFonts w:ascii="黑体" w:hAnsi="黑体" w:eastAsia="黑体" w:cs="Times New Roman"/>
                <w:sz w:val="24"/>
                <w:szCs w:val="21"/>
              </w:rPr>
            </w:pPr>
            <w:r>
              <w:rPr>
                <w:rFonts w:hint="eastAsia" w:ascii="黑体" w:hAnsi="黑体" w:eastAsia="黑体" w:cs="Times New Roman"/>
                <w:sz w:val="24"/>
                <w:szCs w:val="21"/>
              </w:rPr>
              <w:t>标准名称</w:t>
            </w:r>
          </w:p>
        </w:tc>
        <w:tc>
          <w:tcPr>
            <w:tcW w:w="2652" w:type="dxa"/>
            <w:shd w:val="clear" w:color="auto" w:fill="auto"/>
            <w:vAlign w:val="center"/>
          </w:tcPr>
          <w:p>
            <w:pPr>
              <w:snapToGrid w:val="0"/>
              <w:spacing w:line="300" w:lineRule="exact"/>
              <w:jc w:val="center"/>
              <w:rPr>
                <w:rFonts w:ascii="黑体" w:hAnsi="黑体" w:eastAsia="黑体" w:cs="Times New Roman"/>
                <w:sz w:val="24"/>
                <w:szCs w:val="21"/>
              </w:rPr>
            </w:pPr>
            <w:r>
              <w:rPr>
                <w:rFonts w:hint="eastAsia" w:ascii="黑体" w:hAnsi="黑体" w:eastAsia="黑体" w:cs="Times New Roman"/>
                <w:sz w:val="24"/>
                <w:szCs w:val="21"/>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4"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t>GB 4706.1-2005</w:t>
            </w:r>
          </w:p>
        </w:tc>
        <w:tc>
          <w:tcPr>
            <w:tcW w:w="4623"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t>《家用和类似用途电器的安全 第1部分：通用要求》</w:t>
            </w:r>
          </w:p>
        </w:tc>
        <w:tc>
          <w:tcPr>
            <w:tcW w:w="2652"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4"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ascii="仿宋_GB2312" w:hAnsi="宋体" w:eastAsia="仿宋_GB2312" w:cs="Times New Roman"/>
                <w:sz w:val="24"/>
                <w:szCs w:val="21"/>
              </w:rPr>
              <w:t>GB</w:t>
            </w:r>
            <w:r>
              <w:rPr>
                <w:rFonts w:hint="eastAsia" w:ascii="仿宋_GB2312" w:hAnsi="宋体" w:eastAsia="仿宋_GB2312" w:cs="Times New Roman"/>
                <w:sz w:val="24"/>
                <w:szCs w:val="21"/>
              </w:rPr>
              <w:t xml:space="preserve"> </w:t>
            </w:r>
            <w:r>
              <w:rPr>
                <w:rFonts w:ascii="仿宋_GB2312" w:hAnsi="宋体" w:eastAsia="仿宋_GB2312" w:cs="Times New Roman"/>
                <w:sz w:val="24"/>
                <w:szCs w:val="21"/>
              </w:rPr>
              <w:t>4706.29-2008</w:t>
            </w:r>
          </w:p>
        </w:tc>
        <w:tc>
          <w:tcPr>
            <w:tcW w:w="4623"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t>《家用和类似用途电器的安全  电磁灶的特殊要求》</w:t>
            </w:r>
          </w:p>
        </w:tc>
        <w:tc>
          <w:tcPr>
            <w:tcW w:w="2652"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4"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ascii="仿宋_GB2312" w:hAnsi="宋体" w:eastAsia="仿宋_GB2312" w:cs="Times New Roman"/>
                <w:sz w:val="24"/>
                <w:szCs w:val="21"/>
              </w:rPr>
              <w:t>GB</w:t>
            </w:r>
            <w:r>
              <w:rPr>
                <w:rFonts w:hint="eastAsia" w:ascii="仿宋_GB2312" w:hAnsi="宋体" w:eastAsia="仿宋_GB2312" w:cs="Times New Roman"/>
                <w:sz w:val="24"/>
                <w:szCs w:val="21"/>
              </w:rPr>
              <w:t xml:space="preserve"> </w:t>
            </w:r>
            <w:r>
              <w:rPr>
                <w:rFonts w:ascii="仿宋_GB2312" w:hAnsi="宋体" w:eastAsia="仿宋_GB2312" w:cs="Times New Roman"/>
                <w:sz w:val="24"/>
                <w:szCs w:val="21"/>
              </w:rPr>
              <w:t>4706.22-2008</w:t>
            </w:r>
          </w:p>
        </w:tc>
        <w:tc>
          <w:tcPr>
            <w:tcW w:w="4623"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t>《家用和类似用途电器的安全   驻立式电灶，灶台，烤炉及类似用途器具的特殊要求》</w:t>
            </w:r>
          </w:p>
        </w:tc>
        <w:tc>
          <w:tcPr>
            <w:tcW w:w="2652"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4"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t>GB 4706.14-2008</w:t>
            </w:r>
          </w:p>
        </w:tc>
        <w:tc>
          <w:tcPr>
            <w:tcW w:w="4623"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t>《家用和类似用途电器的安全   烤架、面包片烘烤器及类似用途便携式烹饪器具的特殊要求》</w:t>
            </w:r>
          </w:p>
        </w:tc>
        <w:tc>
          <w:tcPr>
            <w:tcW w:w="2652"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4"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ascii="仿宋_GB2312" w:hAnsi="宋体" w:eastAsia="仿宋_GB2312" w:cs="Times New Roman"/>
                <w:sz w:val="24"/>
                <w:szCs w:val="21"/>
              </w:rPr>
              <w:t>GB</w:t>
            </w:r>
            <w:r>
              <w:rPr>
                <w:rFonts w:hint="eastAsia" w:ascii="仿宋_GB2312" w:hAnsi="宋体" w:eastAsia="仿宋_GB2312" w:cs="Times New Roman"/>
                <w:sz w:val="24"/>
                <w:szCs w:val="21"/>
              </w:rPr>
              <w:t xml:space="preserve"> </w:t>
            </w:r>
            <w:r>
              <w:rPr>
                <w:rFonts w:ascii="仿宋_GB2312" w:hAnsi="宋体" w:eastAsia="仿宋_GB2312" w:cs="Times New Roman"/>
                <w:sz w:val="24"/>
                <w:szCs w:val="21"/>
              </w:rPr>
              <w:t>4824-2013</w:t>
            </w:r>
          </w:p>
        </w:tc>
        <w:tc>
          <w:tcPr>
            <w:tcW w:w="4623"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t>《工业、科学和医疗(ISM)射频设备骚扰特性限值和测量方法》</w:t>
            </w:r>
          </w:p>
        </w:tc>
        <w:tc>
          <w:tcPr>
            <w:tcW w:w="2652" w:type="dxa"/>
            <w:shd w:val="clear" w:color="auto" w:fill="auto"/>
            <w:vAlign w:val="center"/>
          </w:tcPr>
          <w:p>
            <w:pPr>
              <w:snapToGri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仿宋_GB2312" w:hAnsi="宋体" w:eastAsia="仿宋_GB2312" w:cs="Times New Roman"/>
                <w:sz w:val="24"/>
                <w:szCs w:val="21"/>
              </w:rPr>
              <w:sym w:font="Wingdings 2" w:char="F052"/>
            </w:r>
            <w:r>
              <w:rPr>
                <w:rFonts w:hint="eastAsia" w:ascii="仿宋_GB2312" w:hAnsi="宋体" w:eastAsia="仿宋_GB2312" w:cs="Times New Roman"/>
                <w:sz w:val="24"/>
                <w:szCs w:val="21"/>
              </w:rPr>
              <w:t>CNAS</w:t>
            </w:r>
          </w:p>
        </w:tc>
      </w:tr>
    </w:tbl>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相关的产品强制性标准、行业标准、政府法规及产品的明示标准和明示担保内容。</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 抽样</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5.1 抽样型号或规格</w:t>
      </w:r>
    </w:p>
    <w:p>
      <w:pPr>
        <w:snapToGrid w:val="0"/>
        <w:spacing w:line="360" w:lineRule="auto"/>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抽取样品须为同一型号规格，同一批次的产品。优先抽取单灶头便携式的产品。</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5.2 抽样方法</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5.3 抽样基数</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在生产企业和市场上抽样时，抽样基数应不少于抽取样品量。</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5.4 抽样数量</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生产领域：随机抽取同一规格型号的2台样品，1台作为检验样品带回承检机构，1台作为备用样品封存于承检机构；</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流通领域（实体店）：随机抽取同一规格型号的2台样品，1台作为检验样品带回承检机构，1台作为备用样品封存于受检单位。</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流通领域（网络交易平台）：随机抽取同一规格型号的2台样品，1台作为检验样品带回承检机构，1台作为备用样品封存于承检机构。</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5.5 样品处置</w:t>
      </w:r>
    </w:p>
    <w:p>
      <w:pPr>
        <w:spacing w:line="360" w:lineRule="auto"/>
        <w:rPr>
          <w:rFonts w:ascii="仿宋_GB2312" w:hAnsi="宋体" w:eastAsia="仿宋_GB2312" w:cs="Times New Roman"/>
          <w:color w:val="000000" w:themeColor="text1"/>
          <w:sz w:val="28"/>
          <w:szCs w:val="28"/>
        </w:rPr>
      </w:pPr>
      <w:r>
        <w:rPr>
          <w:rFonts w:hint="eastAsia" w:ascii="仿宋_GB2312" w:hAnsi="ˎ̥" w:eastAsia="仿宋_GB2312" w:cs="Times New Roman"/>
          <w:b/>
          <w:color w:val="000000" w:themeColor="text1"/>
          <w:sz w:val="28"/>
          <w:szCs w:val="28"/>
        </w:rPr>
        <w:t>5.5.1</w:t>
      </w:r>
      <w:r>
        <w:rPr>
          <w:rFonts w:hint="eastAsia" w:ascii="仿宋_GB2312" w:hAnsi="宋体" w:eastAsia="仿宋_GB2312" w:cs="Times New Roman"/>
          <w:color w:val="000000" w:themeColor="text1"/>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color w:val="000000" w:themeColor="text1"/>
          <w:sz w:val="28"/>
          <w:szCs w:val="28"/>
        </w:rPr>
      </w:pPr>
      <w:r>
        <w:rPr>
          <w:rFonts w:hint="eastAsia" w:ascii="仿宋_GB2312" w:hAnsi="宋体" w:eastAsia="仿宋_GB2312" w:cs="Times New Roman"/>
          <w:b/>
          <w:color w:val="000000" w:themeColor="text1"/>
          <w:sz w:val="28"/>
          <w:szCs w:val="28"/>
        </w:rPr>
        <w:t>5.5.2</w:t>
      </w:r>
      <w:r>
        <w:rPr>
          <w:rFonts w:hint="eastAsia" w:ascii="仿宋_GB2312" w:hAnsi="Calibri" w:eastAsia="仿宋_GB2312" w:cs="Times New Roman"/>
          <w:color w:val="000000" w:themeColor="text1"/>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spacing w:line="360" w:lineRule="auto"/>
        <w:rPr>
          <w:rFonts w:ascii="仿宋_GB2312" w:hAnsi="宋体" w:eastAsia="仿宋_GB2312" w:cs="Times New Roman"/>
          <w:color w:val="0000FF"/>
          <w:sz w:val="28"/>
          <w:szCs w:val="28"/>
        </w:rPr>
      </w:pPr>
      <w:r>
        <w:rPr>
          <w:rFonts w:hint="eastAsia" w:ascii="仿宋_GB2312" w:hAnsi="宋体" w:eastAsia="仿宋_GB2312" w:cs="Times New Roman"/>
          <w:b/>
          <w:sz w:val="28"/>
          <w:szCs w:val="28"/>
        </w:rPr>
        <w:t>5.5.3</w:t>
      </w:r>
      <w:r>
        <w:rPr>
          <w:rFonts w:hint="eastAsia" w:ascii="仿宋_GB2312" w:hAnsi="Calibri" w:eastAsia="仿宋_GB2312" w:cs="Times New Roman"/>
          <w:sz w:val="28"/>
          <w:szCs w:val="28"/>
        </w:rPr>
        <w:t>抽取电磁灶产品时，需要抽取附件的产品附件包括说明书、保修卡等。</w:t>
      </w:r>
    </w:p>
    <w:p>
      <w:pPr>
        <w:autoSpaceDE w:val="0"/>
        <w:autoSpaceDN w:val="0"/>
        <w:adjustRightInd w:val="0"/>
        <w:spacing w:line="360" w:lineRule="auto"/>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5.6 抽样单</w:t>
      </w:r>
    </w:p>
    <w:p>
      <w:pPr>
        <w:snapToGrid w:val="0"/>
        <w:spacing w:line="360" w:lineRule="auto"/>
        <w:ind w:firstLine="537" w:firstLineChars="192"/>
        <w:rPr>
          <w:rFonts w:ascii="仿宋_GB2312" w:hAnsi="Calibri" w:eastAsia="仿宋_GB2312" w:cs="Sim Sun"/>
          <w:color w:val="000000" w:themeColor="text1"/>
          <w:kern w:val="0"/>
          <w:sz w:val="28"/>
          <w:szCs w:val="28"/>
        </w:rPr>
      </w:pPr>
      <w:r>
        <w:rPr>
          <w:rFonts w:hint="eastAsia" w:ascii="仿宋_GB2312" w:hAnsi="宋体" w:eastAsia="仿宋_GB2312" w:cs="Times New Roman"/>
          <w:color w:val="000000" w:themeColor="text1"/>
          <w:sz w:val="28"/>
          <w:szCs w:val="28"/>
        </w:rPr>
        <w:t>应按有关规定填写抽样单，并记录被抽查产品及企业相关信息。</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 检验要求</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6.1 检验项目</w:t>
      </w:r>
    </w:p>
    <w:p>
      <w:pPr>
        <w:snapToGrid w:val="0"/>
        <w:spacing w:line="360" w:lineRule="auto"/>
        <w:ind w:firstLine="537" w:firstLineChars="192"/>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检验项目见表4。</w:t>
      </w:r>
    </w:p>
    <w:p>
      <w:pPr>
        <w:snapToGrid w:val="0"/>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表4 检验项目</w:t>
      </w:r>
    </w:p>
    <w:tbl>
      <w:tblPr>
        <w:tblStyle w:val="17"/>
        <w:tblW w:w="9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9"/>
        <w:gridCol w:w="1708"/>
        <w:gridCol w:w="2409"/>
        <w:gridCol w:w="993"/>
        <w:gridCol w:w="241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tblHeader/>
          <w:jc w:val="center"/>
        </w:trPr>
        <w:tc>
          <w:tcPr>
            <w:tcW w:w="839"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序号</w:t>
            </w:r>
          </w:p>
        </w:tc>
        <w:tc>
          <w:tcPr>
            <w:tcW w:w="1708"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检验项目</w:t>
            </w:r>
          </w:p>
        </w:tc>
        <w:tc>
          <w:tcPr>
            <w:tcW w:w="2409" w:type="dxa"/>
            <w:vAlign w:val="center"/>
          </w:tcPr>
          <w:p>
            <w:pPr>
              <w:widowControl/>
              <w:snapToGrid w:val="0"/>
              <w:jc w:val="center"/>
              <w:rPr>
                <w:rFonts w:ascii="黑体" w:hAnsi="黑体" w:eastAsia="黑体" w:cs="Times New Roman"/>
                <w:bCs/>
                <w:color w:val="000000" w:themeColor="text1"/>
                <w:sz w:val="24"/>
                <w:szCs w:val="24"/>
                <w:vertAlign w:val="superscript"/>
              </w:rPr>
            </w:pPr>
            <w:r>
              <w:rPr>
                <w:rFonts w:hint="eastAsia" w:ascii="黑体" w:hAnsi="黑体" w:eastAsia="黑体" w:cs="Times New Roman"/>
                <w:bCs/>
                <w:color w:val="000000" w:themeColor="text1"/>
                <w:sz w:val="24"/>
                <w:szCs w:val="24"/>
              </w:rPr>
              <w:t>检测依据</w:t>
            </w:r>
            <w:r>
              <w:rPr>
                <w:rFonts w:hint="eastAsia" w:ascii="黑体" w:hAnsi="黑体" w:eastAsia="黑体" w:cs="Times New Roman"/>
                <w:bCs/>
                <w:color w:val="000000" w:themeColor="text1"/>
                <w:sz w:val="24"/>
                <w:szCs w:val="24"/>
                <w:vertAlign w:val="superscript"/>
              </w:rPr>
              <w:t>1</w:t>
            </w:r>
          </w:p>
        </w:tc>
        <w:tc>
          <w:tcPr>
            <w:tcW w:w="993"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项目性质</w:t>
            </w:r>
          </w:p>
        </w:tc>
        <w:tc>
          <w:tcPr>
            <w:tcW w:w="2410" w:type="dxa"/>
            <w:vAlign w:val="center"/>
          </w:tcPr>
          <w:p>
            <w:pPr>
              <w:widowControl/>
              <w:snapToGrid w:val="0"/>
              <w:jc w:val="center"/>
              <w:rPr>
                <w:rFonts w:ascii="黑体" w:hAnsi="黑体" w:eastAsia="黑体" w:cs="Times New Roman"/>
                <w:bCs/>
                <w:color w:val="000000" w:themeColor="text1"/>
                <w:sz w:val="24"/>
                <w:szCs w:val="24"/>
                <w:vertAlign w:val="superscript"/>
              </w:rPr>
            </w:pPr>
            <w:r>
              <w:rPr>
                <w:rFonts w:hint="eastAsia" w:ascii="黑体" w:hAnsi="黑体" w:eastAsia="黑体" w:cs="Times New Roman"/>
                <w:bCs/>
                <w:color w:val="000000" w:themeColor="text1"/>
                <w:sz w:val="24"/>
                <w:szCs w:val="24"/>
              </w:rPr>
              <w:t>检测方法</w:t>
            </w:r>
            <w:r>
              <w:rPr>
                <w:rFonts w:hint="eastAsia" w:ascii="黑体" w:hAnsi="黑体" w:eastAsia="黑体" w:cs="Times New Roman"/>
                <w:bCs/>
                <w:color w:val="000000" w:themeColor="text1"/>
                <w:sz w:val="24"/>
                <w:szCs w:val="24"/>
                <w:vertAlign w:val="superscript"/>
              </w:rPr>
              <w:t>1</w:t>
            </w:r>
          </w:p>
        </w:tc>
        <w:tc>
          <w:tcPr>
            <w:tcW w:w="873"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标志和说明</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7</w:t>
            </w:r>
          </w:p>
        </w:tc>
        <w:tc>
          <w:tcPr>
            <w:tcW w:w="993"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7</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对触及带电部件的防护</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8</w:t>
            </w:r>
          </w:p>
        </w:tc>
        <w:tc>
          <w:tcPr>
            <w:tcW w:w="993"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8</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电动器具的启动</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9</w:t>
            </w:r>
          </w:p>
        </w:tc>
        <w:tc>
          <w:tcPr>
            <w:tcW w:w="993"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9</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输入功率和电流</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10</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GB 4706.14-2008 10</w:t>
            </w:r>
          </w:p>
        </w:tc>
        <w:tc>
          <w:tcPr>
            <w:tcW w:w="993"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10</w:t>
            </w:r>
          </w:p>
          <w:p>
            <w:pPr>
              <w:jc w:val="center"/>
              <w:rPr>
                <w:rFonts w:ascii="仿宋_GB2312" w:hAnsi="仿宋" w:eastAsia="仿宋_GB2312" w:cs="宋体"/>
                <w:sz w:val="24"/>
                <w:szCs w:val="24"/>
              </w:rPr>
            </w:pPr>
            <w:r>
              <w:rPr>
                <w:rFonts w:hint="eastAsia" w:ascii="仿宋_GB2312" w:hAnsi="仿宋" w:eastAsia="仿宋_GB2312" w:cs="Times New Roman"/>
                <w:sz w:val="24"/>
                <w:szCs w:val="24"/>
              </w:rPr>
              <w:t>GB 4706.14-2008 10</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发热</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11</w:t>
            </w:r>
          </w:p>
        </w:tc>
        <w:tc>
          <w:tcPr>
            <w:tcW w:w="993"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11</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工作温度下的泄漏电流和电气强度</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13</w:t>
            </w:r>
          </w:p>
        </w:tc>
        <w:tc>
          <w:tcPr>
            <w:tcW w:w="993"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13</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瞬态过电压</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14</w:t>
            </w:r>
          </w:p>
        </w:tc>
        <w:tc>
          <w:tcPr>
            <w:tcW w:w="993"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14</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耐潮湿</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15</w:t>
            </w:r>
          </w:p>
        </w:tc>
        <w:tc>
          <w:tcPr>
            <w:tcW w:w="993"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15</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泄漏电流和电气强度</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16</w:t>
            </w:r>
          </w:p>
        </w:tc>
        <w:tc>
          <w:tcPr>
            <w:tcW w:w="993"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16</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变压器和相关电路的过载保护</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17</w:t>
            </w:r>
          </w:p>
        </w:tc>
        <w:tc>
          <w:tcPr>
            <w:tcW w:w="993"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17</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耐久性</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18</w:t>
            </w:r>
          </w:p>
        </w:tc>
        <w:tc>
          <w:tcPr>
            <w:tcW w:w="993"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18</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12</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非正常工作</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19</w:t>
            </w:r>
          </w:p>
        </w:tc>
        <w:tc>
          <w:tcPr>
            <w:tcW w:w="993"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19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19</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13</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稳定性和机械危险</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20</w:t>
            </w:r>
          </w:p>
        </w:tc>
        <w:tc>
          <w:tcPr>
            <w:tcW w:w="993" w:type="dxa"/>
            <w:tcBorders>
              <w:top w:val="single" w:color="auto" w:sz="2" w:space="0"/>
            </w:tcBorders>
            <w:vAlign w:val="center"/>
          </w:tcPr>
          <w:p>
            <w:pPr>
              <w:snapToGrid w:val="0"/>
              <w:spacing w:beforeLines="25" w:afterLines="25"/>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20</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14</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机械强度</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21</w:t>
            </w:r>
          </w:p>
        </w:tc>
        <w:tc>
          <w:tcPr>
            <w:tcW w:w="993"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21</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15</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结构</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22</w:t>
            </w:r>
          </w:p>
        </w:tc>
        <w:tc>
          <w:tcPr>
            <w:tcW w:w="993"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22</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16</w:t>
            </w:r>
          </w:p>
        </w:tc>
        <w:tc>
          <w:tcPr>
            <w:tcW w:w="1708" w:type="dxa"/>
            <w:tcBorders>
              <w:top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内部布线</w:t>
            </w:r>
          </w:p>
        </w:tc>
        <w:tc>
          <w:tcPr>
            <w:tcW w:w="2409"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23</w:t>
            </w:r>
          </w:p>
        </w:tc>
        <w:tc>
          <w:tcPr>
            <w:tcW w:w="993" w:type="dxa"/>
            <w:tcBorders>
              <w:top w:val="single" w:color="auto" w:sz="2" w:space="0"/>
            </w:tcBorders>
            <w:vAlign w:val="center"/>
          </w:tcPr>
          <w:p>
            <w:pPr>
              <w:jc w:val="center"/>
            </w:pPr>
            <w:r>
              <w:rPr>
                <w:rFonts w:hint="eastAsia" w:ascii="仿宋_GB2312" w:hAnsi="仿宋" w:eastAsia="仿宋_GB2312" w:cs="Times New Roman"/>
                <w:sz w:val="24"/>
                <w:szCs w:val="24"/>
              </w:rPr>
              <w:t>强制性</w:t>
            </w:r>
          </w:p>
        </w:tc>
        <w:tc>
          <w:tcPr>
            <w:tcW w:w="2410" w:type="dxa"/>
            <w:tcBorders>
              <w:top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23</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23</w:t>
            </w:r>
          </w:p>
        </w:tc>
        <w:tc>
          <w:tcPr>
            <w:tcW w:w="873" w:type="dxa"/>
            <w:tcBorders>
              <w:top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17</w:t>
            </w:r>
          </w:p>
        </w:tc>
        <w:tc>
          <w:tcPr>
            <w:tcW w:w="1708"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元件</w:t>
            </w:r>
          </w:p>
        </w:tc>
        <w:tc>
          <w:tcPr>
            <w:tcW w:w="2409"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24</w:t>
            </w:r>
          </w:p>
        </w:tc>
        <w:tc>
          <w:tcPr>
            <w:tcW w:w="993"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24</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24</w:t>
            </w:r>
          </w:p>
        </w:tc>
        <w:tc>
          <w:tcPr>
            <w:tcW w:w="873"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18</w:t>
            </w:r>
          </w:p>
        </w:tc>
        <w:tc>
          <w:tcPr>
            <w:tcW w:w="1708"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电源连接及外部软线</w:t>
            </w:r>
          </w:p>
        </w:tc>
        <w:tc>
          <w:tcPr>
            <w:tcW w:w="2409"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25</w:t>
            </w:r>
          </w:p>
        </w:tc>
        <w:tc>
          <w:tcPr>
            <w:tcW w:w="993" w:type="dxa"/>
            <w:tcBorders>
              <w:top w:val="single" w:color="auto" w:sz="2" w:space="0"/>
              <w:bottom w:val="single" w:color="auto" w:sz="2" w:space="0"/>
            </w:tcBorders>
            <w:vAlign w:val="center"/>
          </w:tcPr>
          <w:p>
            <w:pPr>
              <w:jc w:val="center"/>
            </w:pPr>
            <w:r>
              <w:rPr>
                <w:rFonts w:hint="eastAsia" w:ascii="仿宋_GB2312" w:hAnsi="仿宋" w:eastAsia="仿宋_GB2312" w:cs="Times New Roman"/>
                <w:sz w:val="24"/>
                <w:szCs w:val="24"/>
              </w:rPr>
              <w:t>强制性</w:t>
            </w:r>
          </w:p>
        </w:tc>
        <w:tc>
          <w:tcPr>
            <w:tcW w:w="2410"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25</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25</w:t>
            </w:r>
          </w:p>
        </w:tc>
        <w:tc>
          <w:tcPr>
            <w:tcW w:w="873"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19</w:t>
            </w:r>
          </w:p>
        </w:tc>
        <w:tc>
          <w:tcPr>
            <w:tcW w:w="1708"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外部导线用接线端子</w:t>
            </w:r>
          </w:p>
        </w:tc>
        <w:tc>
          <w:tcPr>
            <w:tcW w:w="2409"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26</w:t>
            </w:r>
          </w:p>
        </w:tc>
        <w:tc>
          <w:tcPr>
            <w:tcW w:w="993" w:type="dxa"/>
            <w:tcBorders>
              <w:top w:val="single" w:color="auto" w:sz="2" w:space="0"/>
              <w:bottom w:val="single" w:color="auto" w:sz="2" w:space="0"/>
            </w:tcBorders>
            <w:vAlign w:val="center"/>
          </w:tcPr>
          <w:p>
            <w:pPr>
              <w:jc w:val="center"/>
            </w:pPr>
            <w:r>
              <w:rPr>
                <w:rFonts w:hint="eastAsia" w:ascii="仿宋_GB2312" w:hAnsi="仿宋" w:eastAsia="仿宋_GB2312" w:cs="Times New Roman"/>
                <w:sz w:val="24"/>
                <w:szCs w:val="24"/>
              </w:rPr>
              <w:t>强制性</w:t>
            </w:r>
          </w:p>
        </w:tc>
        <w:tc>
          <w:tcPr>
            <w:tcW w:w="2410"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26</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26</w:t>
            </w:r>
          </w:p>
        </w:tc>
        <w:tc>
          <w:tcPr>
            <w:tcW w:w="873"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20</w:t>
            </w:r>
          </w:p>
        </w:tc>
        <w:tc>
          <w:tcPr>
            <w:tcW w:w="1708"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接地措施</w:t>
            </w:r>
          </w:p>
        </w:tc>
        <w:tc>
          <w:tcPr>
            <w:tcW w:w="2409"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27</w:t>
            </w:r>
          </w:p>
        </w:tc>
        <w:tc>
          <w:tcPr>
            <w:tcW w:w="993" w:type="dxa"/>
            <w:tcBorders>
              <w:top w:val="single" w:color="auto" w:sz="2" w:space="0"/>
              <w:bottom w:val="single" w:color="auto" w:sz="2" w:space="0"/>
            </w:tcBorders>
            <w:vAlign w:val="center"/>
          </w:tcPr>
          <w:p>
            <w:pPr>
              <w:jc w:val="center"/>
            </w:pPr>
            <w:r>
              <w:rPr>
                <w:rFonts w:hint="eastAsia" w:ascii="仿宋_GB2312" w:hAnsi="仿宋" w:eastAsia="仿宋_GB2312" w:cs="Times New Roman"/>
                <w:sz w:val="24"/>
                <w:szCs w:val="24"/>
              </w:rPr>
              <w:t>强制性</w:t>
            </w:r>
          </w:p>
        </w:tc>
        <w:tc>
          <w:tcPr>
            <w:tcW w:w="2410"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27</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27</w:t>
            </w:r>
          </w:p>
        </w:tc>
        <w:tc>
          <w:tcPr>
            <w:tcW w:w="873"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21</w:t>
            </w:r>
          </w:p>
        </w:tc>
        <w:tc>
          <w:tcPr>
            <w:tcW w:w="1708" w:type="dxa"/>
            <w:tcBorders>
              <w:top w:val="single" w:color="auto" w:sz="2" w:space="0"/>
              <w:bottom w:val="single" w:color="auto" w:sz="2" w:space="0"/>
            </w:tcBorders>
            <w:vAlign w:val="center"/>
          </w:tcPr>
          <w:p>
            <w:pPr>
              <w:widowControl/>
              <w:snapToGrid w:val="0"/>
              <w:jc w:val="center"/>
              <w:rPr>
                <w:rFonts w:ascii="仿宋_GB2312" w:hAnsi="仿宋" w:eastAsia="仿宋_GB2312" w:cs="Times New Roman"/>
                <w:bCs/>
                <w:sz w:val="24"/>
                <w:szCs w:val="24"/>
              </w:rPr>
            </w:pPr>
            <w:r>
              <w:rPr>
                <w:rFonts w:hint="eastAsia" w:ascii="仿宋_GB2312" w:hAnsi="仿宋" w:eastAsia="仿宋_GB2312" w:cs="Times New Roman"/>
                <w:bCs/>
                <w:sz w:val="24"/>
                <w:szCs w:val="24"/>
              </w:rPr>
              <w:t>螺钉和连接</w:t>
            </w:r>
          </w:p>
        </w:tc>
        <w:tc>
          <w:tcPr>
            <w:tcW w:w="2409"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28</w:t>
            </w:r>
          </w:p>
        </w:tc>
        <w:tc>
          <w:tcPr>
            <w:tcW w:w="993" w:type="dxa"/>
            <w:tcBorders>
              <w:top w:val="single" w:color="auto" w:sz="2" w:space="0"/>
              <w:bottom w:val="single" w:color="auto" w:sz="2" w:space="0"/>
            </w:tcBorders>
            <w:vAlign w:val="center"/>
          </w:tcPr>
          <w:p>
            <w:pPr>
              <w:jc w:val="center"/>
            </w:pPr>
            <w:r>
              <w:rPr>
                <w:rFonts w:hint="eastAsia" w:ascii="仿宋_GB2312" w:hAnsi="仿宋" w:eastAsia="仿宋_GB2312" w:cs="Times New Roman"/>
                <w:sz w:val="24"/>
                <w:szCs w:val="24"/>
              </w:rPr>
              <w:t>强制性</w:t>
            </w:r>
          </w:p>
        </w:tc>
        <w:tc>
          <w:tcPr>
            <w:tcW w:w="2410"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28</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28</w:t>
            </w:r>
          </w:p>
        </w:tc>
        <w:tc>
          <w:tcPr>
            <w:tcW w:w="873"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22</w:t>
            </w:r>
          </w:p>
        </w:tc>
        <w:tc>
          <w:tcPr>
            <w:tcW w:w="1708" w:type="dxa"/>
            <w:tcBorders>
              <w:top w:val="single" w:color="auto" w:sz="2" w:space="0"/>
              <w:bottom w:val="single" w:color="auto" w:sz="2" w:space="0"/>
            </w:tcBorders>
            <w:vAlign w:val="center"/>
          </w:tcPr>
          <w:p>
            <w:pPr>
              <w:widowControl/>
              <w:snapToGrid w:val="0"/>
              <w:jc w:val="center"/>
              <w:rPr>
                <w:rFonts w:ascii="仿宋_GB2312" w:hAnsi="Calibri" w:eastAsia="仿宋_GB2312" w:cs="Times New Roman"/>
                <w:bCs/>
                <w:sz w:val="24"/>
                <w:szCs w:val="24"/>
              </w:rPr>
            </w:pPr>
            <w:r>
              <w:rPr>
                <w:rFonts w:hint="eastAsia" w:ascii="仿宋_GB2312" w:hAnsi="仿宋" w:eastAsia="仿宋_GB2312" w:cs="Times New Roman"/>
                <w:color w:val="000000" w:themeColor="text1"/>
                <w:sz w:val="24"/>
                <w:szCs w:val="24"/>
              </w:rPr>
              <w:t>电气间隙、爬电距离和固体绝缘</w:t>
            </w:r>
          </w:p>
        </w:tc>
        <w:tc>
          <w:tcPr>
            <w:tcW w:w="2409"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29</w:t>
            </w:r>
          </w:p>
        </w:tc>
        <w:tc>
          <w:tcPr>
            <w:tcW w:w="993" w:type="dxa"/>
            <w:tcBorders>
              <w:top w:val="single" w:color="auto" w:sz="2" w:space="0"/>
              <w:bottom w:val="single" w:color="auto" w:sz="2" w:space="0"/>
            </w:tcBorders>
            <w:vAlign w:val="center"/>
          </w:tcPr>
          <w:p>
            <w:pPr>
              <w:jc w:val="center"/>
            </w:pPr>
            <w:r>
              <w:rPr>
                <w:rFonts w:hint="eastAsia" w:ascii="仿宋_GB2312" w:hAnsi="仿宋" w:eastAsia="仿宋_GB2312" w:cs="Times New Roman"/>
                <w:sz w:val="24"/>
                <w:szCs w:val="24"/>
              </w:rPr>
              <w:t>强制性</w:t>
            </w:r>
          </w:p>
        </w:tc>
        <w:tc>
          <w:tcPr>
            <w:tcW w:w="2410"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29</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29</w:t>
            </w:r>
          </w:p>
        </w:tc>
        <w:tc>
          <w:tcPr>
            <w:tcW w:w="873"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23</w:t>
            </w:r>
          </w:p>
        </w:tc>
        <w:tc>
          <w:tcPr>
            <w:tcW w:w="1708" w:type="dxa"/>
            <w:tcBorders>
              <w:top w:val="single" w:color="auto" w:sz="2" w:space="0"/>
              <w:bottom w:val="single" w:color="auto" w:sz="2" w:space="0"/>
            </w:tcBorders>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耐热和耐燃</w:t>
            </w:r>
          </w:p>
        </w:tc>
        <w:tc>
          <w:tcPr>
            <w:tcW w:w="2409"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30</w:t>
            </w:r>
          </w:p>
        </w:tc>
        <w:tc>
          <w:tcPr>
            <w:tcW w:w="993" w:type="dxa"/>
            <w:tcBorders>
              <w:top w:val="single" w:color="auto" w:sz="2" w:space="0"/>
              <w:bottom w:val="single" w:color="auto" w:sz="2" w:space="0"/>
            </w:tcBorders>
            <w:vAlign w:val="center"/>
          </w:tcPr>
          <w:p>
            <w:pPr>
              <w:jc w:val="center"/>
            </w:pPr>
            <w:r>
              <w:rPr>
                <w:rFonts w:hint="eastAsia" w:ascii="仿宋_GB2312" w:hAnsi="仿宋" w:eastAsia="仿宋_GB2312" w:cs="Times New Roman"/>
                <w:sz w:val="24"/>
                <w:szCs w:val="24"/>
              </w:rPr>
              <w:t>强制性</w:t>
            </w:r>
          </w:p>
        </w:tc>
        <w:tc>
          <w:tcPr>
            <w:tcW w:w="2410"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30</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30</w:t>
            </w:r>
          </w:p>
        </w:tc>
        <w:tc>
          <w:tcPr>
            <w:tcW w:w="873"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24</w:t>
            </w:r>
          </w:p>
        </w:tc>
        <w:tc>
          <w:tcPr>
            <w:tcW w:w="1708" w:type="dxa"/>
            <w:tcBorders>
              <w:top w:val="single" w:color="auto" w:sz="2" w:space="0"/>
              <w:bottom w:val="single" w:color="auto" w:sz="2" w:space="0"/>
            </w:tcBorders>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防锈</w:t>
            </w:r>
          </w:p>
        </w:tc>
        <w:tc>
          <w:tcPr>
            <w:tcW w:w="2409"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31</w:t>
            </w:r>
          </w:p>
        </w:tc>
        <w:tc>
          <w:tcPr>
            <w:tcW w:w="993"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31</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31</w:t>
            </w:r>
          </w:p>
        </w:tc>
        <w:tc>
          <w:tcPr>
            <w:tcW w:w="873"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atLeast"/>
          <w:jc w:val="center"/>
        </w:trPr>
        <w:tc>
          <w:tcPr>
            <w:tcW w:w="839" w:type="dxa"/>
            <w:tcBorders>
              <w:top w:val="single" w:color="auto" w:sz="2" w:space="0"/>
              <w:bottom w:val="single" w:color="auto" w:sz="2"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25</w:t>
            </w:r>
          </w:p>
        </w:tc>
        <w:tc>
          <w:tcPr>
            <w:tcW w:w="1708" w:type="dxa"/>
            <w:tcBorders>
              <w:top w:val="single" w:color="auto" w:sz="2" w:space="0"/>
              <w:bottom w:val="single" w:color="auto" w:sz="2" w:space="0"/>
            </w:tcBorders>
            <w:vAlign w:val="center"/>
          </w:tcPr>
          <w:p>
            <w:pPr>
              <w:widowControl/>
              <w:snapToGrid w:val="0"/>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辐射、毒性和类似危险</w:t>
            </w:r>
          </w:p>
        </w:tc>
        <w:tc>
          <w:tcPr>
            <w:tcW w:w="2409"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32</w:t>
            </w:r>
          </w:p>
        </w:tc>
        <w:tc>
          <w:tcPr>
            <w:tcW w:w="993"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强制性</w:t>
            </w:r>
          </w:p>
        </w:tc>
        <w:tc>
          <w:tcPr>
            <w:tcW w:w="2410" w:type="dxa"/>
            <w:tcBorders>
              <w:top w:val="single" w:color="auto" w:sz="2" w:space="0"/>
              <w:bottom w:val="single" w:color="auto" w:sz="2" w:space="0"/>
            </w:tcBorders>
            <w:vAlign w:val="center"/>
          </w:tcPr>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4706.1-2005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4706.29-2008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4706.22-2008 32</w:t>
            </w:r>
          </w:p>
          <w:p>
            <w:pPr>
              <w:jc w:val="center"/>
              <w:rPr>
                <w:rFonts w:ascii="仿宋_GB2312" w:hAnsi="仿宋" w:eastAsia="仿宋_GB2312" w:cs="Times New Roman"/>
                <w:sz w:val="24"/>
                <w:szCs w:val="24"/>
              </w:rPr>
            </w:pPr>
            <w:r>
              <w:rPr>
                <w:rFonts w:hint="eastAsia" w:ascii="仿宋_GB2312" w:hAnsi="仿宋" w:eastAsia="仿宋_GB2312" w:cs="Times New Roman"/>
                <w:sz w:val="24"/>
                <w:szCs w:val="24"/>
              </w:rPr>
              <w:t>GB 4706.14-2008 32</w:t>
            </w:r>
          </w:p>
        </w:tc>
        <w:tc>
          <w:tcPr>
            <w:tcW w:w="873" w:type="dxa"/>
            <w:tcBorders>
              <w:top w:val="single" w:color="auto" w:sz="2" w:space="0"/>
              <w:bottom w:val="single" w:color="auto" w:sz="2"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pStyle w:val="5"/>
              <w:snapToGrid w:val="0"/>
              <w:spacing w:line="50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26</w:t>
            </w:r>
          </w:p>
        </w:tc>
        <w:tc>
          <w:tcPr>
            <w:tcW w:w="170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端子骚扰电压</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4824-2013 6.3.1</w:t>
            </w:r>
          </w:p>
        </w:tc>
        <w:tc>
          <w:tcPr>
            <w:tcW w:w="993" w:type="dxa"/>
            <w:tcBorders>
              <w:top w:val="single" w:color="auto" w:sz="4" w:space="0"/>
              <w:left w:val="single" w:color="auto" w:sz="4" w:space="0"/>
              <w:bottom w:val="single" w:color="auto" w:sz="4" w:space="0"/>
              <w:right w:val="single" w:color="auto" w:sz="4" w:space="0"/>
            </w:tcBorders>
            <w:vAlign w:val="center"/>
          </w:tcPr>
          <w:p>
            <w:pPr>
              <w:wordWrap w:val="0"/>
              <w:spacing w:line="240" w:lineRule="atLeast"/>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4824-2013 6.3.1</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pStyle w:val="5"/>
              <w:snapToGrid w:val="0"/>
              <w:spacing w:line="50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27</w:t>
            </w:r>
          </w:p>
        </w:tc>
        <w:tc>
          <w:tcPr>
            <w:tcW w:w="1708"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电磁辐射骚扰</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4824-2013 6.3.2</w:t>
            </w:r>
          </w:p>
        </w:tc>
        <w:tc>
          <w:tcPr>
            <w:tcW w:w="993" w:type="dxa"/>
            <w:tcBorders>
              <w:top w:val="single" w:color="auto" w:sz="4" w:space="0"/>
              <w:left w:val="single" w:color="auto" w:sz="4" w:space="0"/>
              <w:bottom w:val="single" w:color="auto" w:sz="4" w:space="0"/>
              <w:right w:val="single" w:color="auto" w:sz="4" w:space="0"/>
            </w:tcBorders>
            <w:vAlign w:val="center"/>
          </w:tcPr>
          <w:p>
            <w:pPr>
              <w:wordWrap w:val="0"/>
              <w:spacing w:line="240" w:lineRule="atLeast"/>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41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4824-2013 6.3.2</w:t>
            </w:r>
          </w:p>
        </w:tc>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32" w:type="dxa"/>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cs="Times New Roman"/>
                <w:sz w:val="24"/>
                <w:szCs w:val="24"/>
              </w:rPr>
            </w:pPr>
            <w:r>
              <w:rPr>
                <w:rFonts w:hint="eastAsia" w:ascii="仿宋_GB2312" w:hAnsi="宋体" w:eastAsia="仿宋_GB2312" w:cs="Times New Roman"/>
                <w:sz w:val="24"/>
                <w:szCs w:val="24"/>
              </w:rPr>
              <w:t>注：</w:t>
            </w:r>
          </w:p>
          <w:p>
            <w:pPr>
              <w:pStyle w:val="31"/>
              <w:numPr>
                <w:ilvl w:val="0"/>
                <w:numId w:val="1"/>
              </w:numPr>
              <w:snapToGrid w:val="0"/>
              <w:ind w:firstLineChars="0"/>
              <w:jc w:val="left"/>
              <w:rPr>
                <w:rFonts w:ascii="仿宋_GB2312" w:hAnsi="宋体" w:eastAsia="仿宋_GB2312"/>
                <w:sz w:val="24"/>
              </w:rPr>
            </w:pPr>
            <w:r>
              <w:rPr>
                <w:rFonts w:hint="eastAsia" w:ascii="仿宋_GB2312" w:hAnsi="宋体" w:eastAsia="仿宋_GB2312"/>
                <w:sz w:val="24"/>
              </w:rPr>
              <w:t>针对检验项目“检测依据”、“检测方法”的说明：</w:t>
            </w:r>
          </w:p>
          <w:p>
            <w:pPr>
              <w:pStyle w:val="31"/>
              <w:snapToGrid w:val="0"/>
              <w:ind w:left="360" w:firstLine="0" w:firstLineChars="0"/>
              <w:jc w:val="left"/>
              <w:rPr>
                <w:rFonts w:ascii="仿宋_GB2312" w:hAnsi="宋体" w:eastAsia="仿宋_GB2312"/>
                <w:sz w:val="24"/>
              </w:rPr>
            </w:pPr>
            <w:r>
              <w:rPr>
                <w:rFonts w:hint="eastAsia" w:ascii="仿宋_GB2312" w:hAnsi="仿宋" w:eastAsia="仿宋_GB2312"/>
                <w:sz w:val="24"/>
              </w:rPr>
              <w:t>带烘烤功能的电磁灶需额外满足GB 4706.14-2008。</w:t>
            </w:r>
          </w:p>
        </w:tc>
      </w:tr>
    </w:tbl>
    <w:p>
      <w:pPr>
        <w:snapToGrid w:val="0"/>
        <w:spacing w:line="360" w:lineRule="auto"/>
        <w:rPr>
          <w:rFonts w:ascii="仿宋_GB2312" w:hAnsi="宋体" w:eastAsia="仿宋_GB2312" w:cs="Times New Roman"/>
          <w:b/>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 xml:space="preserve"> 检验应注意的问题</w:t>
      </w:r>
    </w:p>
    <w:p>
      <w:pPr>
        <w:snapToGrid w:val="0"/>
        <w:spacing w:line="360" w:lineRule="auto"/>
        <w:rPr>
          <w:rFonts w:ascii="仿宋_GB2312" w:hAnsi="宋体" w:eastAsia="仿宋_GB2312" w:cs="Times New Roman"/>
          <w:iCs/>
          <w:sz w:val="28"/>
          <w:szCs w:val="28"/>
        </w:rPr>
      </w:pPr>
      <w:r>
        <w:rPr>
          <w:rFonts w:hint="eastAsia" w:ascii="仿宋_GB2312" w:hAnsi="Calibri" w:eastAsia="仿宋_GB2312" w:cs="Sim Sun"/>
          <w:b/>
          <w:color w:val="000000"/>
          <w:kern w:val="0"/>
          <w:sz w:val="28"/>
          <w:szCs w:val="28"/>
        </w:rPr>
        <w:t>6.</w:t>
      </w:r>
      <w:r>
        <w:rPr>
          <w:rFonts w:ascii="仿宋_GB2312" w:hAnsi="Calibri" w:eastAsia="仿宋_GB2312" w:cs="Sim Sun"/>
          <w:b/>
          <w:color w:val="000000"/>
          <w:kern w:val="0"/>
          <w:sz w:val="28"/>
          <w:szCs w:val="28"/>
        </w:rPr>
        <w:t>2</w:t>
      </w:r>
      <w:r>
        <w:rPr>
          <w:rFonts w:hint="eastAsia" w:ascii="仿宋_GB2312" w:hAnsi="Calibri" w:eastAsia="仿宋_GB2312" w:cs="Sim Sun"/>
          <w:b/>
          <w:color w:val="000000"/>
          <w:kern w:val="0"/>
          <w:sz w:val="28"/>
          <w:szCs w:val="28"/>
        </w:rPr>
        <w:t>.1</w:t>
      </w:r>
      <w:r>
        <w:rPr>
          <w:rFonts w:hint="eastAsia" w:ascii="仿宋_GB2312" w:hAnsi="Calibri" w:eastAsia="仿宋_GB2312" w:cs="Sim Sun"/>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sz w:val="28"/>
          <w:szCs w:val="28"/>
        </w:rPr>
        <w:t>备用</w:t>
      </w:r>
      <w:r>
        <w:rPr>
          <w:rFonts w:hint="eastAsia" w:ascii="仿宋_GB2312" w:hAnsi="宋体" w:eastAsia="仿宋_GB2312" w:cs="Times New Roman"/>
          <w:iCs/>
          <w:sz w:val="28"/>
          <w:szCs w:val="28"/>
        </w:rPr>
        <w:t>样品应该贮存在阴凉、干燥、安全、避光处，在整个保存期间应保证签封完整无损。</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6.2.2</w:t>
      </w:r>
      <w:r>
        <w:rPr>
          <w:rFonts w:hint="eastAsia" w:ascii="仿宋_GB2312" w:eastAsia="仿宋_GB2312" w:cs="Sim Sun"/>
          <w:color w:val="000000" w:themeColor="text1"/>
          <w:kern w:val="0"/>
          <w:sz w:val="28"/>
          <w:szCs w:val="28"/>
        </w:rPr>
        <w:t>若被检产品明示的质量要求高于本规范中检验项目依据的标准要求时，应按被检产品明示的质量要求判定。</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6.2.3</w:t>
      </w:r>
      <w:r>
        <w:rPr>
          <w:rFonts w:hint="eastAsia" w:ascii="仿宋_GB2312" w:eastAsia="仿宋_GB2312" w:cs="Sim Sun"/>
          <w:color w:val="000000" w:themeColor="text1"/>
          <w:kern w:val="0"/>
          <w:sz w:val="28"/>
          <w:szCs w:val="28"/>
        </w:rPr>
        <w:t>若被检产品明示的质量要求低于本规范中检验项目依据的强制性标准要求时，应按照强制性标准要求判定。</w:t>
      </w:r>
    </w:p>
    <w:p>
      <w:pPr>
        <w:snapToGrid w:val="0"/>
        <w:spacing w:line="360" w:lineRule="auto"/>
        <w:rPr>
          <w:rFonts w:ascii="仿宋_GB2312" w:hAnsi="宋体" w:eastAsia="仿宋_GB2312"/>
          <w:color w:val="000000" w:themeColor="text1"/>
          <w:sz w:val="28"/>
          <w:szCs w:val="28"/>
        </w:rPr>
      </w:pPr>
      <w:r>
        <w:rPr>
          <w:rFonts w:hint="eastAsia" w:ascii="仿宋_GB2312" w:eastAsia="仿宋_GB2312" w:cs="Sim Sun"/>
          <w:b/>
          <w:color w:val="000000" w:themeColor="text1"/>
          <w:kern w:val="0"/>
          <w:sz w:val="28"/>
          <w:szCs w:val="28"/>
        </w:rPr>
        <w:t>6.2.4</w:t>
      </w:r>
      <w:r>
        <w:rPr>
          <w:rFonts w:hint="eastAsia" w:ascii="仿宋_GB2312" w:eastAsia="仿宋_GB2312" w:cs="Sim Sun"/>
          <w:color w:val="000000" w:themeColor="text1"/>
          <w:kern w:val="0"/>
          <w:sz w:val="28"/>
          <w:szCs w:val="28"/>
        </w:rPr>
        <w:t>若被检产品明示的质量要求缺少本规范中检验项目依据的强制性标准要求时，应按照强制性标准要求判定。</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7 判定原则</w:t>
      </w:r>
    </w:p>
    <w:p>
      <w:pPr>
        <w:snapToGrid w:val="0"/>
        <w:spacing w:line="360" w:lineRule="auto"/>
        <w:ind w:firstLine="560" w:firstLineChars="200"/>
        <w:rPr>
          <w:rFonts w:ascii="仿宋_GB2312" w:hAnsi="Calibri" w:eastAsia="仿宋_GB2312" w:cs="Sim Sun"/>
          <w:b/>
          <w:kern w:val="0"/>
          <w:sz w:val="28"/>
          <w:szCs w:val="28"/>
        </w:rPr>
      </w:pPr>
      <w:r>
        <w:rPr>
          <w:rFonts w:hint="eastAsia" w:ascii="仿宋_GB2312" w:eastAsia="仿宋_GB2312" w:cs="Sim Sun"/>
          <w:color w:val="000000"/>
          <w:kern w:val="0"/>
          <w:sz w:val="28"/>
          <w:szCs w:val="28"/>
        </w:rPr>
        <w:t>经检验，所检样品全部项目合格，判该产品本次监督抽查结果合格；出现一项或一项以上</w:t>
      </w:r>
      <w:r>
        <w:rPr>
          <w:rFonts w:hint="eastAsia" w:ascii="仿宋_GB2312" w:hAnsi="宋体" w:eastAsia="仿宋_GB2312"/>
          <w:color w:val="000000"/>
          <w:sz w:val="28"/>
          <w:szCs w:val="28"/>
        </w:rPr>
        <w:t>项目</w:t>
      </w:r>
      <w:r>
        <w:rPr>
          <w:rFonts w:hint="eastAsia" w:ascii="仿宋_GB2312" w:eastAsia="仿宋_GB2312" w:cs="Sim Sun"/>
          <w:color w:val="000000"/>
          <w:kern w:val="0"/>
          <w:sz w:val="28"/>
          <w:szCs w:val="28"/>
        </w:rPr>
        <w:t>不合格，判该产品本次监督检验结果不合格。</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8 异议处理复检</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w:t>
      </w:r>
      <w:r>
        <w:rPr>
          <w:rFonts w:ascii="仿宋_GB2312" w:eastAsia="仿宋_GB2312" w:cs="Sim Sun"/>
          <w:iCs/>
          <w:kern w:val="0"/>
          <w:sz w:val="28"/>
          <w:szCs w:val="28"/>
        </w:rPr>
        <w:t>提出书面复检申请。逾期未提出异议的，视为承认检验结果。</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8.</w:t>
      </w:r>
      <w:r>
        <w:rPr>
          <w:rFonts w:ascii="仿宋_GB2312" w:eastAsia="仿宋_GB2312" w:cs="Sim Sun"/>
          <w:b/>
          <w:color w:val="000000" w:themeColor="text1"/>
          <w:kern w:val="0"/>
          <w:sz w:val="28"/>
          <w:szCs w:val="28"/>
        </w:rPr>
        <w:t>3</w:t>
      </w:r>
      <w:r>
        <w:rPr>
          <w:rFonts w:hint="eastAsia" w:ascii="仿宋_GB2312" w:eastAsia="仿宋_GB2312" w:cs="Sim Sun"/>
          <w:iCs/>
          <w:color w:val="000000" w:themeColor="text1"/>
          <w:kern w:val="0"/>
          <w:sz w:val="28"/>
          <w:szCs w:val="28"/>
        </w:rPr>
        <w:t>复验</w:t>
      </w:r>
      <w:r>
        <w:rPr>
          <w:rFonts w:ascii="仿宋_GB2312" w:eastAsia="仿宋_GB2312" w:cs="Sim Sun"/>
          <w:iCs/>
          <w:color w:val="000000" w:themeColor="text1"/>
          <w:kern w:val="0"/>
          <w:sz w:val="28"/>
          <w:szCs w:val="28"/>
        </w:rPr>
        <w:t>检验人员与初检检验人员不得为同一人。</w:t>
      </w:r>
    </w:p>
    <w:p>
      <w:pPr>
        <w:snapToGrid w:val="0"/>
        <w:spacing w:line="360" w:lineRule="auto"/>
        <w:rPr>
          <w:rFonts w:ascii="仿宋_GB2312" w:eastAsia="仿宋_GB2312" w:cs="Sim Sun"/>
          <w:kern w:val="0"/>
          <w:sz w:val="28"/>
          <w:szCs w:val="28"/>
        </w:rPr>
      </w:pPr>
      <w:r>
        <w:rPr>
          <w:rFonts w:hint="eastAsia" w:ascii="仿宋_GB2312" w:eastAsia="仿宋_GB2312" w:cs="Sim Sun"/>
          <w:b/>
          <w:color w:val="000000" w:themeColor="text1"/>
          <w:kern w:val="0"/>
          <w:sz w:val="28"/>
          <w:szCs w:val="28"/>
        </w:rPr>
        <w:t>8.4</w:t>
      </w:r>
      <w:r>
        <w:rPr>
          <w:rFonts w:hint="eastAsia" w:ascii="仿宋_GB2312" w:eastAsia="仿宋_GB2312" w:cs="Sim Sun"/>
          <w:color w:val="000000" w:themeColor="text1"/>
          <w:kern w:val="0"/>
          <w:sz w:val="28"/>
          <w:szCs w:val="28"/>
        </w:rPr>
        <w:t>需对不合格项目复验时，按6.1选择复检样品。</w:t>
      </w:r>
      <w:r>
        <w:rPr>
          <w:rFonts w:hint="eastAsia" w:ascii="仿宋_GB2312" w:eastAsia="仿宋_GB2312" w:cs="Sim Sun"/>
          <w:kern w:val="0"/>
          <w:sz w:val="28"/>
          <w:szCs w:val="28"/>
        </w:rPr>
        <w:t>当复检结果仍不合格，维持原检验结果不变。当复检结果合格，以复检结果为准。</w:t>
      </w:r>
    </w:p>
    <w:p>
      <w:pPr>
        <w:snapToGrid w:val="0"/>
        <w:spacing w:line="360" w:lineRule="auto"/>
        <w:rPr>
          <w:rFonts w:ascii="仿宋_GB2312" w:eastAsia="仿宋_GB2312" w:cs="Sim Sun"/>
          <w:b/>
          <w:iCs/>
          <w:kern w:val="0"/>
          <w:sz w:val="28"/>
          <w:szCs w:val="28"/>
        </w:rPr>
      </w:pPr>
      <w:r>
        <w:rPr>
          <w:rFonts w:hint="eastAsia" w:ascii="仿宋_GB2312" w:eastAsia="仿宋_GB2312" w:cs="Sim Sun"/>
          <w:b/>
          <w:iCs/>
          <w:kern w:val="0"/>
          <w:sz w:val="28"/>
          <w:szCs w:val="28"/>
        </w:rPr>
        <w:t>8.</w:t>
      </w:r>
      <w:r>
        <w:rPr>
          <w:rFonts w:ascii="仿宋_GB2312" w:eastAsia="仿宋_GB2312" w:cs="Sim Sun"/>
          <w:b/>
          <w:iCs/>
          <w:kern w:val="0"/>
          <w:sz w:val="28"/>
          <w:szCs w:val="28"/>
        </w:rPr>
        <w:t>5</w:t>
      </w:r>
      <w:r>
        <w:rPr>
          <w:rFonts w:ascii="仿宋_GB2312" w:eastAsia="仿宋_GB2312" w:cs="Sim Sun"/>
          <w:kern w:val="0"/>
          <w:sz w:val="28"/>
          <w:szCs w:val="28"/>
        </w:rPr>
        <w:t>采用备样复验时，</w:t>
      </w:r>
      <w:r>
        <w:rPr>
          <w:rFonts w:hint="eastAsia" w:ascii="仿宋_GB2312" w:eastAsia="仿宋_GB2312" w:cs="Sim Sun"/>
          <w:kern w:val="0"/>
          <w:sz w:val="28"/>
          <w:szCs w:val="28"/>
        </w:rPr>
        <w:t>若备样与原样的结构、布线、元器件等不一致时，检验结果以原检验结果为准。</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8.</w:t>
      </w:r>
      <w:r>
        <w:rPr>
          <w:rFonts w:ascii="仿宋_GB2312" w:eastAsia="仿宋_GB2312" w:cs="Sim Sun"/>
          <w:b/>
          <w:iCs/>
          <w:kern w:val="0"/>
          <w:sz w:val="28"/>
          <w:szCs w:val="28"/>
        </w:rPr>
        <w:t>6</w:t>
      </w:r>
      <w:r>
        <w:rPr>
          <w:rFonts w:hint="eastAsia" w:ascii="仿宋_GB2312" w:eastAsia="仿宋_GB2312" w:cs="Sim Sun"/>
          <w:iCs/>
          <w:kern w:val="0"/>
          <w:sz w:val="28"/>
          <w:szCs w:val="28"/>
        </w:rPr>
        <w:t>深圳市市场监督管理局根据初检</w:t>
      </w:r>
      <w:r>
        <w:rPr>
          <w:rFonts w:ascii="仿宋_GB2312" w:eastAsia="仿宋_GB2312" w:cs="Sim Sun"/>
          <w:iCs/>
          <w:kern w:val="0"/>
          <w:sz w:val="28"/>
          <w:szCs w:val="28"/>
        </w:rPr>
        <w:t>、复</w:t>
      </w:r>
      <w:r>
        <w:rPr>
          <w:rFonts w:hint="eastAsia" w:ascii="仿宋_GB2312" w:eastAsia="仿宋_GB2312" w:cs="Sim Sun"/>
          <w:iCs/>
          <w:kern w:val="0"/>
          <w:sz w:val="28"/>
          <w:szCs w:val="28"/>
        </w:rPr>
        <w:t>验</w:t>
      </w:r>
      <w:r>
        <w:rPr>
          <w:rFonts w:ascii="仿宋_GB2312" w:eastAsia="仿宋_GB2312" w:cs="Sim Sun"/>
          <w:iCs/>
          <w:kern w:val="0"/>
          <w:sz w:val="28"/>
          <w:szCs w:val="28"/>
        </w:rPr>
        <w:t>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p>
    <w:p>
      <w:pPr>
        <w:snapToGrid w:val="0"/>
        <w:spacing w:line="360" w:lineRule="auto"/>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 xml:space="preserve"> 附则</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snapToGrid w:val="0"/>
        <w:spacing w:line="360" w:lineRule="auto"/>
        <w:ind w:firstLine="537" w:firstLineChars="192"/>
        <w:rPr>
          <w:color w:val="000000" w:themeColor="text1"/>
        </w:rPr>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bookmarkStart w:id="0" w:name="_GoBack"/>
      <w:bookmarkEnd w:id="0"/>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936B9"/>
    <w:multiLevelType w:val="multilevel"/>
    <w:tmpl w:val="66F936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52D"/>
    <w:rsid w:val="00006671"/>
    <w:rsid w:val="00020391"/>
    <w:rsid w:val="00026D92"/>
    <w:rsid w:val="00043F37"/>
    <w:rsid w:val="00045AEC"/>
    <w:rsid w:val="00081B9C"/>
    <w:rsid w:val="000C351E"/>
    <w:rsid w:val="000C7012"/>
    <w:rsid w:val="000F1E9B"/>
    <w:rsid w:val="000F3D71"/>
    <w:rsid w:val="001331CD"/>
    <w:rsid w:val="00152FCA"/>
    <w:rsid w:val="00156112"/>
    <w:rsid w:val="00174B8F"/>
    <w:rsid w:val="0018062E"/>
    <w:rsid w:val="001A7241"/>
    <w:rsid w:val="001B1B68"/>
    <w:rsid w:val="001B4CC8"/>
    <w:rsid w:val="001D5EFD"/>
    <w:rsid w:val="001E4D3A"/>
    <w:rsid w:val="001E5C2A"/>
    <w:rsid w:val="00221C4C"/>
    <w:rsid w:val="002417B4"/>
    <w:rsid w:val="002445BF"/>
    <w:rsid w:val="00245EBE"/>
    <w:rsid w:val="00251547"/>
    <w:rsid w:val="00266F51"/>
    <w:rsid w:val="00267E0A"/>
    <w:rsid w:val="00273055"/>
    <w:rsid w:val="0028178E"/>
    <w:rsid w:val="002A316B"/>
    <w:rsid w:val="002A66E7"/>
    <w:rsid w:val="002E373D"/>
    <w:rsid w:val="003110CC"/>
    <w:rsid w:val="00327A52"/>
    <w:rsid w:val="00330EFE"/>
    <w:rsid w:val="003423FF"/>
    <w:rsid w:val="003575D8"/>
    <w:rsid w:val="003725E7"/>
    <w:rsid w:val="00393289"/>
    <w:rsid w:val="003C67A9"/>
    <w:rsid w:val="003F15BA"/>
    <w:rsid w:val="004144CB"/>
    <w:rsid w:val="004273CF"/>
    <w:rsid w:val="00440B3B"/>
    <w:rsid w:val="00442803"/>
    <w:rsid w:val="00451A9C"/>
    <w:rsid w:val="00451F77"/>
    <w:rsid w:val="00455F50"/>
    <w:rsid w:val="00457393"/>
    <w:rsid w:val="004864E2"/>
    <w:rsid w:val="0049380F"/>
    <w:rsid w:val="00495031"/>
    <w:rsid w:val="004B09A1"/>
    <w:rsid w:val="004C1287"/>
    <w:rsid w:val="004C1334"/>
    <w:rsid w:val="004D2F78"/>
    <w:rsid w:val="004E7D91"/>
    <w:rsid w:val="0052247C"/>
    <w:rsid w:val="00544B94"/>
    <w:rsid w:val="00545A12"/>
    <w:rsid w:val="00550799"/>
    <w:rsid w:val="00550CE0"/>
    <w:rsid w:val="005B31B5"/>
    <w:rsid w:val="005B7676"/>
    <w:rsid w:val="005D4455"/>
    <w:rsid w:val="005D50ED"/>
    <w:rsid w:val="005D54BD"/>
    <w:rsid w:val="00605928"/>
    <w:rsid w:val="00623A2A"/>
    <w:rsid w:val="0064613E"/>
    <w:rsid w:val="0064797C"/>
    <w:rsid w:val="006575FA"/>
    <w:rsid w:val="00662E0E"/>
    <w:rsid w:val="0066561D"/>
    <w:rsid w:val="00670170"/>
    <w:rsid w:val="00672D3B"/>
    <w:rsid w:val="00676815"/>
    <w:rsid w:val="00694207"/>
    <w:rsid w:val="006B20BF"/>
    <w:rsid w:val="006B29D5"/>
    <w:rsid w:val="006C3325"/>
    <w:rsid w:val="006C5667"/>
    <w:rsid w:val="006D0D55"/>
    <w:rsid w:val="0071070D"/>
    <w:rsid w:val="00757BD9"/>
    <w:rsid w:val="0076203D"/>
    <w:rsid w:val="00772ABB"/>
    <w:rsid w:val="00776E2E"/>
    <w:rsid w:val="007C0F87"/>
    <w:rsid w:val="007C397B"/>
    <w:rsid w:val="007E2C85"/>
    <w:rsid w:val="008225A7"/>
    <w:rsid w:val="00842D30"/>
    <w:rsid w:val="00845C8F"/>
    <w:rsid w:val="0085137D"/>
    <w:rsid w:val="00864A08"/>
    <w:rsid w:val="00866E1E"/>
    <w:rsid w:val="0087352D"/>
    <w:rsid w:val="00886BC3"/>
    <w:rsid w:val="0089623D"/>
    <w:rsid w:val="00896B30"/>
    <w:rsid w:val="008D2053"/>
    <w:rsid w:val="008D7415"/>
    <w:rsid w:val="008F3754"/>
    <w:rsid w:val="00904E14"/>
    <w:rsid w:val="00917DB8"/>
    <w:rsid w:val="00927DD7"/>
    <w:rsid w:val="009C09F5"/>
    <w:rsid w:val="009C319B"/>
    <w:rsid w:val="00A04793"/>
    <w:rsid w:val="00A13092"/>
    <w:rsid w:val="00A17997"/>
    <w:rsid w:val="00A46483"/>
    <w:rsid w:val="00A65EB4"/>
    <w:rsid w:val="00A679C5"/>
    <w:rsid w:val="00A90206"/>
    <w:rsid w:val="00A910DF"/>
    <w:rsid w:val="00A93AEE"/>
    <w:rsid w:val="00AA2557"/>
    <w:rsid w:val="00AB00BE"/>
    <w:rsid w:val="00AC0993"/>
    <w:rsid w:val="00AC2428"/>
    <w:rsid w:val="00AD41D2"/>
    <w:rsid w:val="00AD701A"/>
    <w:rsid w:val="00AE6A3C"/>
    <w:rsid w:val="00B14367"/>
    <w:rsid w:val="00B318CA"/>
    <w:rsid w:val="00B33F97"/>
    <w:rsid w:val="00B47E10"/>
    <w:rsid w:val="00B527C4"/>
    <w:rsid w:val="00B77E0D"/>
    <w:rsid w:val="00B82839"/>
    <w:rsid w:val="00B96E12"/>
    <w:rsid w:val="00BA0657"/>
    <w:rsid w:val="00BC4CE3"/>
    <w:rsid w:val="00BE00C2"/>
    <w:rsid w:val="00BE5675"/>
    <w:rsid w:val="00BF6229"/>
    <w:rsid w:val="00C025C5"/>
    <w:rsid w:val="00C16673"/>
    <w:rsid w:val="00C321C7"/>
    <w:rsid w:val="00C400AE"/>
    <w:rsid w:val="00C5760C"/>
    <w:rsid w:val="00C82594"/>
    <w:rsid w:val="00C91CE2"/>
    <w:rsid w:val="00C974BC"/>
    <w:rsid w:val="00CA71E6"/>
    <w:rsid w:val="00CA75F1"/>
    <w:rsid w:val="00CD5F13"/>
    <w:rsid w:val="00CE6A93"/>
    <w:rsid w:val="00CF46C3"/>
    <w:rsid w:val="00CF4D8B"/>
    <w:rsid w:val="00D0449B"/>
    <w:rsid w:val="00D24D41"/>
    <w:rsid w:val="00D3176B"/>
    <w:rsid w:val="00D32A3E"/>
    <w:rsid w:val="00D43CD3"/>
    <w:rsid w:val="00D54DD1"/>
    <w:rsid w:val="00D61106"/>
    <w:rsid w:val="00DC1E0B"/>
    <w:rsid w:val="00DC4635"/>
    <w:rsid w:val="00DD1CDC"/>
    <w:rsid w:val="00DD2244"/>
    <w:rsid w:val="00DD531B"/>
    <w:rsid w:val="00DE6471"/>
    <w:rsid w:val="00DF1F6E"/>
    <w:rsid w:val="00E111A4"/>
    <w:rsid w:val="00E50B8C"/>
    <w:rsid w:val="00E67DEA"/>
    <w:rsid w:val="00E766E9"/>
    <w:rsid w:val="00E80EFD"/>
    <w:rsid w:val="00E84505"/>
    <w:rsid w:val="00EA4ABB"/>
    <w:rsid w:val="00EB0A44"/>
    <w:rsid w:val="00EB22D7"/>
    <w:rsid w:val="00EB2AA6"/>
    <w:rsid w:val="00EC145F"/>
    <w:rsid w:val="00EC4367"/>
    <w:rsid w:val="00EC69B4"/>
    <w:rsid w:val="00F03FA6"/>
    <w:rsid w:val="00F1497F"/>
    <w:rsid w:val="00F2627D"/>
    <w:rsid w:val="00F336D3"/>
    <w:rsid w:val="00F35B1E"/>
    <w:rsid w:val="00F4112B"/>
    <w:rsid w:val="00F4546E"/>
    <w:rsid w:val="00F5585F"/>
    <w:rsid w:val="00F56B0F"/>
    <w:rsid w:val="00F65B7C"/>
    <w:rsid w:val="00F835DE"/>
    <w:rsid w:val="00FE73FE"/>
    <w:rsid w:val="00FF30AB"/>
    <w:rsid w:val="76FD4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3"/>
    <w:unhideWhenUsed/>
    <w:uiPriority w:val="99"/>
    <w:rPr>
      <w:rFonts w:asciiTheme="minorHAnsi" w:hAnsiTheme="minorHAnsi" w:eastAsiaTheme="minorEastAsia" w:cstheme="minorBidi"/>
      <w:b/>
      <w:bCs/>
      <w:szCs w:val="22"/>
    </w:rPr>
  </w:style>
  <w:style w:type="paragraph" w:styleId="3">
    <w:name w:val="annotation text"/>
    <w:basedOn w:val="1"/>
    <w:link w:val="28"/>
    <w:uiPriority w:val="0"/>
    <w:pPr>
      <w:jc w:val="left"/>
    </w:pPr>
    <w:rPr>
      <w:rFonts w:ascii="Times New Roman" w:hAnsi="Times New Roman" w:eastAsia="宋体" w:cs="Times New Roman"/>
      <w:szCs w:val="24"/>
    </w:rPr>
  </w:style>
  <w:style w:type="paragraph" w:styleId="4">
    <w:name w:val="Body Text Indent"/>
    <w:basedOn w:val="1"/>
    <w:link w:val="22"/>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5"/>
    <w:uiPriority w:val="0"/>
    <w:rPr>
      <w:rFonts w:ascii="宋体" w:hAnsi="Courier New" w:eastAsia="宋体" w:cs="Times New Roman"/>
      <w:szCs w:val="21"/>
    </w:rPr>
  </w:style>
  <w:style w:type="paragraph" w:styleId="6">
    <w:name w:val="Date"/>
    <w:basedOn w:val="1"/>
    <w:next w:val="1"/>
    <w:link w:val="34"/>
    <w:unhideWhenUsed/>
    <w:uiPriority w:val="99"/>
    <w:pPr>
      <w:ind w:left="100" w:leftChars="2500"/>
    </w:pPr>
  </w:style>
  <w:style w:type="paragraph" w:styleId="7">
    <w:name w:val="Body Text Indent 2"/>
    <w:basedOn w:val="1"/>
    <w:link w:val="26"/>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qFormat/>
    <w:uiPriority w:val="0"/>
    <w:rPr>
      <w:rFonts w:ascii="Times New Roman" w:hAnsi="Times New Roman" w:eastAsia="宋体" w:cs="Times New Roman"/>
      <w:sz w:val="18"/>
      <w:szCs w:val="18"/>
    </w:rPr>
  </w:style>
  <w:style w:type="paragraph" w:styleId="9">
    <w:name w:val="footer"/>
    <w:basedOn w:val="1"/>
    <w:link w:val="19"/>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27"/>
    <w:qFormat/>
    <w:uiPriority w:val="0"/>
    <w:pPr>
      <w:spacing w:after="120"/>
      <w:ind w:left="420" w:leftChars="200"/>
    </w:pPr>
    <w:rPr>
      <w:rFonts w:ascii="Times New Roman" w:hAnsi="Times New Roman" w:eastAsia="宋体" w:cs="Times New Roman"/>
      <w:sz w:val="16"/>
      <w:szCs w:val="16"/>
    </w:rPr>
  </w:style>
  <w:style w:type="paragraph" w:styleId="12">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page number"/>
    <w:basedOn w:val="13"/>
    <w:uiPriority w:val="0"/>
  </w:style>
  <w:style w:type="character" w:styleId="16">
    <w:name w:val="annotation reference"/>
    <w:basedOn w:val="13"/>
    <w:qFormat/>
    <w:uiPriority w:val="0"/>
    <w:rPr>
      <w:sz w:val="21"/>
      <w:szCs w:val="21"/>
    </w:rPr>
  </w:style>
  <w:style w:type="table" w:styleId="18">
    <w:name w:val="Table Grid"/>
    <w:basedOn w:val="1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脚 Char"/>
    <w:basedOn w:val="13"/>
    <w:link w:val="9"/>
    <w:uiPriority w:val="0"/>
    <w:rPr>
      <w:rFonts w:ascii="Times New Roman" w:hAnsi="Times New Roman" w:eastAsia="宋体" w:cs="Times New Roman"/>
      <w:sz w:val="18"/>
      <w:szCs w:val="18"/>
    </w:rPr>
  </w:style>
  <w:style w:type="character" w:customStyle="1" w:styleId="20">
    <w:name w:val="页眉 Char"/>
    <w:basedOn w:val="13"/>
    <w:link w:val="10"/>
    <w:qFormat/>
    <w:uiPriority w:val="99"/>
    <w:rPr>
      <w:rFonts w:cs="Times New Roman" w:asciiTheme="majorEastAsia" w:hAnsiTheme="majorEastAsia" w:eastAsiaTheme="majorEastAsia"/>
      <w:b/>
      <w:szCs w:val="21"/>
    </w:rPr>
  </w:style>
  <w:style w:type="paragraph" w:customStyle="1" w:styleId="21">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2">
    <w:name w:val="正文文本缩进 Char"/>
    <w:basedOn w:val="13"/>
    <w:link w:val="4"/>
    <w:uiPriority w:val="0"/>
    <w:rPr>
      <w:rFonts w:ascii="Times New Roman" w:hAnsi="Times New Roman" w:eastAsia="宋体" w:cs="Times New Roman"/>
      <w:kern w:val="0"/>
      <w:sz w:val="24"/>
      <w:szCs w:val="20"/>
    </w:rPr>
  </w:style>
  <w:style w:type="character" w:customStyle="1" w:styleId="23">
    <w:name w:val="批注框文本 Char"/>
    <w:basedOn w:val="13"/>
    <w:link w:val="8"/>
    <w:semiHidden/>
    <w:uiPriority w:val="0"/>
    <w:rPr>
      <w:rFonts w:ascii="Times New Roman" w:hAnsi="Times New Roman" w:eastAsia="宋体" w:cs="Times New Roman"/>
      <w:sz w:val="18"/>
      <w:szCs w:val="18"/>
    </w:rPr>
  </w:style>
  <w:style w:type="paragraph" w:customStyle="1" w:styleId="24">
    <w:name w:val="Char1"/>
    <w:basedOn w:val="1"/>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5">
    <w:name w:val="纯文本 Char"/>
    <w:basedOn w:val="13"/>
    <w:link w:val="5"/>
    <w:uiPriority w:val="0"/>
    <w:rPr>
      <w:rFonts w:ascii="宋体" w:hAnsi="Courier New" w:eastAsia="宋体" w:cs="Times New Roman"/>
      <w:szCs w:val="21"/>
    </w:rPr>
  </w:style>
  <w:style w:type="character" w:customStyle="1" w:styleId="26">
    <w:name w:val="正文文本缩进 2 Char"/>
    <w:basedOn w:val="13"/>
    <w:link w:val="7"/>
    <w:uiPriority w:val="0"/>
    <w:rPr>
      <w:rFonts w:ascii="Times New Roman" w:hAnsi="Times New Roman" w:eastAsia="宋体" w:cs="Times New Roman"/>
      <w:szCs w:val="24"/>
    </w:rPr>
  </w:style>
  <w:style w:type="character" w:customStyle="1" w:styleId="27">
    <w:name w:val="正文文本缩进 3 Char"/>
    <w:basedOn w:val="13"/>
    <w:link w:val="11"/>
    <w:uiPriority w:val="0"/>
    <w:rPr>
      <w:rFonts w:ascii="Times New Roman" w:hAnsi="Times New Roman" w:eastAsia="宋体" w:cs="Times New Roman"/>
      <w:sz w:val="16"/>
      <w:szCs w:val="16"/>
    </w:rPr>
  </w:style>
  <w:style w:type="character" w:customStyle="1" w:styleId="28">
    <w:name w:val="批注文字 Char"/>
    <w:basedOn w:val="13"/>
    <w:link w:val="3"/>
    <w:uiPriority w:val="0"/>
    <w:rPr>
      <w:rFonts w:ascii="Times New Roman" w:hAnsi="Times New Roman" w:eastAsia="宋体" w:cs="Times New Roman"/>
      <w:szCs w:val="24"/>
    </w:rPr>
  </w:style>
  <w:style w:type="paragraph" w:customStyle="1" w:styleId="29">
    <w:name w:val="表格"/>
    <w:basedOn w:val="1"/>
    <w:link w:val="30"/>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0">
    <w:name w:val="表格 Char"/>
    <w:link w:val="29"/>
    <w:uiPriority w:val="0"/>
    <w:rPr>
      <w:rFonts w:ascii="仿宋_GB2312" w:hAnsi="Times New Roman" w:eastAsia="宋体" w:cs="Times New Roman"/>
      <w:color w:val="000000"/>
      <w:kern w:val="0"/>
      <w:szCs w:val="24"/>
    </w:rPr>
  </w:style>
  <w:style w:type="paragraph" w:customStyle="1" w:styleId="31">
    <w:name w:val="List Paragraph"/>
    <w:basedOn w:val="1"/>
    <w:qFormat/>
    <w:uiPriority w:val="34"/>
    <w:pPr>
      <w:ind w:firstLine="420" w:firstLineChars="200"/>
    </w:pPr>
    <w:rPr>
      <w:rFonts w:ascii="Times New Roman" w:hAnsi="Times New Roman" w:eastAsia="宋体" w:cs="Times New Roman"/>
      <w:szCs w:val="24"/>
    </w:rPr>
  </w:style>
  <w:style w:type="paragraph" w:customStyle="1" w:styleId="32">
    <w:name w:val="p0"/>
    <w:basedOn w:val="1"/>
    <w:uiPriority w:val="0"/>
    <w:pPr>
      <w:widowControl/>
    </w:pPr>
    <w:rPr>
      <w:rFonts w:ascii="Times New Roman" w:hAnsi="Times New Roman" w:eastAsia="宋体" w:cs="Times New Roman"/>
      <w:kern w:val="0"/>
      <w:szCs w:val="21"/>
    </w:rPr>
  </w:style>
  <w:style w:type="character" w:customStyle="1" w:styleId="33">
    <w:name w:val="批注主题 Char"/>
    <w:basedOn w:val="28"/>
    <w:link w:val="2"/>
    <w:semiHidden/>
    <w:uiPriority w:val="99"/>
    <w:rPr>
      <w:rFonts w:ascii="Times New Roman" w:hAnsi="Times New Roman" w:eastAsia="宋体" w:cs="Times New Roman"/>
      <w:b/>
      <w:bCs/>
      <w:szCs w:val="24"/>
    </w:rPr>
  </w:style>
  <w:style w:type="character" w:customStyle="1" w:styleId="34">
    <w:name w:val="日期 Char"/>
    <w:basedOn w:val="13"/>
    <w:link w:val="6"/>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02E89-00D8-4F8F-B54C-488AD0A4BA8D}">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36</Pages>
  <Words>4222</Words>
  <Characters>24072</Characters>
  <Lines>200</Lines>
  <Paragraphs>56</Paragraphs>
  <TotalTime>0</TotalTime>
  <ScaleCrop>false</ScaleCrop>
  <LinksUpToDate>false</LinksUpToDate>
  <CharactersWithSpaces>28238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2019-03-14T05:50:00Z</dcterms:created>
  <dc:creator>张嘉欢</dc:creator>
  <cp:lastModifiedBy>常孟园</cp:lastModifiedBy>
  <cp:lastPrinted>2019-05-23T06:20:00Z</cp:lastPrinted>
  <dcterms:modified xsi:type="dcterms:W3CDTF">2019-05-23T06:34:40Z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