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b/>
          <w:color w:val="000000"/>
          <w:sz w:val="36"/>
        </w:rPr>
      </w:pPr>
      <w:r>
        <w:rPr>
          <w:rFonts w:hint="eastAsia" w:ascii="宋体" w:hAnsi="宋体"/>
          <w:b/>
          <w:color w:val="000000"/>
          <w:sz w:val="36"/>
        </w:rPr>
        <w:t>深圳市市场监督管理局</w:t>
      </w:r>
    </w:p>
    <w:p>
      <w:pPr>
        <w:spacing w:beforeLines="50" w:line="360" w:lineRule="auto"/>
        <w:jc w:val="center"/>
        <w:rPr>
          <w:rFonts w:ascii="宋体" w:hAnsi="宋体"/>
          <w:b/>
          <w:color w:val="000000"/>
          <w:sz w:val="36"/>
        </w:rPr>
      </w:pPr>
      <w:r>
        <w:rPr>
          <w:rFonts w:hint="eastAsia" w:ascii="宋体" w:hAnsi="宋体"/>
          <w:b/>
          <w:color w:val="000000"/>
          <w:sz w:val="36"/>
        </w:rPr>
        <w:t>床上用品产品质量监督抽查实施规范</w:t>
      </w:r>
    </w:p>
    <w:p>
      <w:pPr>
        <w:spacing w:beforeLines="75" w:line="300" w:lineRule="exact"/>
        <w:jc w:val="center"/>
        <w:rPr>
          <w:rFonts w:ascii="黑体" w:hAnsi="黑体" w:eastAsia="黑体" w:cs="黑体"/>
          <w:sz w:val="28"/>
          <w:szCs w:val="28"/>
        </w:rPr>
      </w:pPr>
      <w:r>
        <w:rPr>
          <w:rFonts w:hint="eastAsia" w:ascii="黑体" w:hAnsi="黑体" w:eastAsia="黑体" w:cs="黑体"/>
          <w:sz w:val="28"/>
          <w:szCs w:val="28"/>
        </w:rPr>
        <w:t>编号：CCGF-SZ-014-2019</w:t>
      </w: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pStyle w:val="9"/>
        <w:snapToGrid w:val="0"/>
        <w:spacing w:after="0" w:line="360" w:lineRule="auto"/>
        <w:ind w:left="0" w:leftChars="0"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本规范适用于深圳市生产及流通领域床上用品产品质量监督抽查。</w:t>
      </w:r>
    </w:p>
    <w:p>
      <w:pPr>
        <w:pStyle w:val="9"/>
        <w:snapToGrid w:val="0"/>
        <w:spacing w:after="0" w:line="360" w:lineRule="auto"/>
        <w:ind w:left="0" w:leftChars="0"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本规范内容包括适用范围、产品种类、术语和定义、检验依据、抽样、检验要求，判定原则及异议处理复检。</w:t>
      </w:r>
    </w:p>
    <w:p>
      <w:pPr>
        <w:snapToGrid w:val="0"/>
        <w:spacing w:line="360" w:lineRule="auto"/>
        <w:outlineLvl w:val="0"/>
        <w:rPr>
          <w:rFonts w:ascii="仿宋_GB2312" w:hAnsi="宋体" w:eastAsia="仿宋_GB2312"/>
          <w:b/>
          <w:color w:val="000000"/>
          <w:sz w:val="28"/>
          <w:szCs w:val="28"/>
        </w:rPr>
      </w:pPr>
      <w:r>
        <w:rPr>
          <w:rFonts w:hint="eastAsia" w:ascii="仿宋_GB2312" w:hAnsi="宋体" w:eastAsia="仿宋_GB2312"/>
          <w:b/>
          <w:color w:val="000000"/>
          <w:sz w:val="28"/>
          <w:szCs w:val="28"/>
        </w:rPr>
        <w:t>2 产品种类</w:t>
      </w:r>
    </w:p>
    <w:p>
      <w:pPr>
        <w:snapToGrid w:val="0"/>
        <w:spacing w:line="360" w:lineRule="auto"/>
        <w:ind w:firstLine="570"/>
        <w:outlineLvl w:val="0"/>
        <w:rPr>
          <w:rFonts w:ascii="仿宋_GB2312" w:hAnsi="宋体" w:eastAsia="仿宋_GB2312"/>
          <w:color w:val="000000"/>
          <w:sz w:val="28"/>
          <w:szCs w:val="28"/>
        </w:rPr>
      </w:pPr>
      <w:r>
        <w:rPr>
          <w:rFonts w:hint="eastAsia" w:ascii="仿宋_GB2312" w:hAnsi="宋体" w:eastAsia="仿宋_GB2312"/>
          <w:color w:val="000000"/>
          <w:sz w:val="28"/>
          <w:szCs w:val="28"/>
        </w:rPr>
        <w:t>产品种类见表1</w:t>
      </w:r>
    </w:p>
    <w:p>
      <w:pPr>
        <w:snapToGri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表1  产品种类</w:t>
      </w:r>
    </w:p>
    <w:tbl>
      <w:tblPr>
        <w:tblStyle w:val="21"/>
        <w:tblW w:w="7534" w:type="dxa"/>
        <w:jc w:val="center"/>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93"/>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1" w:hRule="atLeast"/>
          <w:jc w:val="center"/>
        </w:trPr>
        <w:tc>
          <w:tcPr>
            <w:tcW w:w="1494" w:type="dxa"/>
            <w:vAlign w:val="center"/>
          </w:tcPr>
          <w:p>
            <w:pPr>
              <w:tabs>
                <w:tab w:val="left" w:pos="4680"/>
              </w:tabs>
              <w:spacing w:line="320" w:lineRule="exact"/>
              <w:ind w:firstLine="120" w:firstLineChars="50"/>
              <w:jc w:val="center"/>
              <w:rPr>
                <w:rFonts w:ascii="黑体" w:hAnsi="黑体" w:eastAsia="黑体" w:cs="黑体"/>
                <w:bCs/>
                <w:color w:val="000000"/>
                <w:sz w:val="24"/>
                <w:szCs w:val="24"/>
              </w:rPr>
            </w:pPr>
            <w:r>
              <w:rPr>
                <w:rFonts w:hint="eastAsia" w:ascii="黑体" w:hAnsi="黑体" w:eastAsia="黑体" w:cs="黑体"/>
                <w:bCs/>
                <w:color w:val="000000"/>
                <w:sz w:val="24"/>
                <w:szCs w:val="24"/>
              </w:rPr>
              <w:t>产品</w:t>
            </w:r>
          </w:p>
        </w:tc>
        <w:tc>
          <w:tcPr>
            <w:tcW w:w="1393" w:type="dxa"/>
            <w:vAlign w:val="center"/>
          </w:tcPr>
          <w:p>
            <w:pPr>
              <w:tabs>
                <w:tab w:val="left" w:pos="4680"/>
              </w:tabs>
              <w:spacing w:line="320" w:lineRule="exact"/>
              <w:jc w:val="center"/>
              <w:rPr>
                <w:rFonts w:ascii="黑体" w:hAnsi="黑体" w:eastAsia="黑体" w:cs="黑体"/>
                <w:bCs/>
                <w:color w:val="000000"/>
                <w:sz w:val="24"/>
                <w:szCs w:val="24"/>
              </w:rPr>
            </w:pPr>
            <w:r>
              <w:rPr>
                <w:rFonts w:hint="eastAsia" w:ascii="黑体" w:hAnsi="黑体" w:eastAsia="黑体" w:cs="黑体"/>
                <w:bCs/>
                <w:color w:val="000000"/>
                <w:sz w:val="24"/>
                <w:szCs w:val="24"/>
              </w:rPr>
              <w:t>产品种类</w:t>
            </w:r>
          </w:p>
        </w:tc>
        <w:tc>
          <w:tcPr>
            <w:tcW w:w="4647" w:type="dxa"/>
            <w:vAlign w:val="center"/>
          </w:tcPr>
          <w:p>
            <w:pPr>
              <w:tabs>
                <w:tab w:val="left" w:pos="4680"/>
              </w:tabs>
              <w:spacing w:line="320" w:lineRule="exact"/>
              <w:ind w:firstLine="120" w:firstLineChars="50"/>
              <w:jc w:val="center"/>
              <w:rPr>
                <w:rFonts w:ascii="黑体" w:hAnsi="黑体" w:eastAsia="黑体" w:cs="黑体"/>
                <w:bCs/>
                <w:color w:val="000000"/>
                <w:sz w:val="24"/>
                <w:szCs w:val="24"/>
              </w:rPr>
            </w:pPr>
            <w:r>
              <w:rPr>
                <w:rFonts w:hint="eastAsia" w:ascii="黑体" w:hAnsi="黑体" w:eastAsia="黑体" w:cs="黑体"/>
                <w:bCs/>
                <w:color w:val="000000"/>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494" w:type="dxa"/>
            <w:vMerge w:val="restart"/>
            <w:vAlign w:val="center"/>
          </w:tcPr>
          <w:p>
            <w:pPr>
              <w:tabs>
                <w:tab w:val="left" w:pos="4680"/>
              </w:tabs>
              <w:spacing w:line="3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床上用品</w:t>
            </w:r>
          </w:p>
        </w:tc>
        <w:tc>
          <w:tcPr>
            <w:tcW w:w="1393" w:type="dxa"/>
            <w:vAlign w:val="center"/>
          </w:tcPr>
          <w:p>
            <w:pPr>
              <w:tabs>
                <w:tab w:val="left" w:pos="4680"/>
              </w:tabs>
              <w:spacing w:line="3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无填充物床上用品</w:t>
            </w:r>
          </w:p>
        </w:tc>
        <w:tc>
          <w:tcPr>
            <w:tcW w:w="4647" w:type="dxa"/>
            <w:vAlign w:val="center"/>
          </w:tcPr>
          <w:p>
            <w:pPr>
              <w:tabs>
                <w:tab w:val="left" w:pos="4680"/>
              </w:tabs>
              <w:spacing w:line="320" w:lineRule="exact"/>
              <w:rPr>
                <w:rFonts w:ascii="仿宋_GB2312" w:eastAsia="仿宋_GB2312"/>
                <w:color w:val="000000"/>
                <w:sz w:val="24"/>
                <w:szCs w:val="24"/>
              </w:rPr>
            </w:pPr>
            <w:r>
              <w:rPr>
                <w:rFonts w:hint="eastAsia" w:ascii="仿宋_GB2312" w:hAnsi="宋体" w:eastAsia="仿宋_GB2312"/>
                <w:color w:val="000000"/>
                <w:sz w:val="24"/>
                <w:szCs w:val="24"/>
              </w:rPr>
              <w:t>床单、被套、床笠、床罩、枕套、配套床上用品、毯类等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494" w:type="dxa"/>
            <w:vMerge w:val="continue"/>
            <w:vAlign w:val="center"/>
          </w:tcPr>
          <w:p>
            <w:pPr>
              <w:tabs>
                <w:tab w:val="left" w:pos="4680"/>
              </w:tabs>
              <w:spacing w:line="320" w:lineRule="exact"/>
              <w:jc w:val="center"/>
              <w:rPr>
                <w:rFonts w:ascii="仿宋_GB2312" w:hAnsi="宋体" w:eastAsia="仿宋_GB2312"/>
                <w:color w:val="000000"/>
                <w:sz w:val="24"/>
                <w:szCs w:val="24"/>
              </w:rPr>
            </w:pPr>
          </w:p>
        </w:tc>
        <w:tc>
          <w:tcPr>
            <w:tcW w:w="1393" w:type="dxa"/>
            <w:vAlign w:val="center"/>
          </w:tcPr>
          <w:p>
            <w:pPr>
              <w:tabs>
                <w:tab w:val="left" w:pos="4680"/>
              </w:tabs>
              <w:spacing w:line="3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有填充物床上用品</w:t>
            </w:r>
          </w:p>
        </w:tc>
        <w:tc>
          <w:tcPr>
            <w:tcW w:w="4647" w:type="dxa"/>
            <w:vAlign w:val="center"/>
          </w:tcPr>
          <w:p>
            <w:pPr>
              <w:tabs>
                <w:tab w:val="left" w:pos="4680"/>
              </w:tabs>
              <w:spacing w:line="320" w:lineRule="exact"/>
              <w:rPr>
                <w:rFonts w:ascii="仿宋_GB2312" w:hAnsi="宋体" w:eastAsia="仿宋_GB2312"/>
                <w:color w:val="000000"/>
                <w:sz w:val="24"/>
                <w:szCs w:val="24"/>
              </w:rPr>
            </w:pPr>
            <w:r>
              <w:rPr>
                <w:rFonts w:hint="eastAsia" w:ascii="仿宋_GB2312" w:hAnsi="宋体" w:eastAsia="仿宋_GB2312"/>
                <w:color w:val="000000"/>
                <w:sz w:val="24"/>
                <w:szCs w:val="24"/>
              </w:rPr>
              <w:t>绗缝制品、被类（棉被、羊毛被、蚕丝被、化纤被、羽绒羽毛被）、睡袋、枕、垫类产品等</w:t>
            </w:r>
          </w:p>
        </w:tc>
      </w:tr>
    </w:tbl>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3 术语和定义</w:t>
      </w:r>
    </w:p>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婴幼儿纺织产品：年龄在36个月及以下的婴幼儿穿着或使用的纺织产品（一般适用于身高100cm及以下婴幼儿穿着或使用的纺织产品）。</w:t>
      </w:r>
    </w:p>
    <w:p>
      <w:pPr>
        <w:snapToGrid w:val="0"/>
        <w:spacing w:line="360" w:lineRule="auto"/>
        <w:ind w:firstLine="560" w:firstLineChars="200"/>
        <w:rPr>
          <w:rFonts w:hint="eastAsia" w:ascii="仿宋_GB2312" w:hAnsi="ˎ̥" w:eastAsia="仿宋_GB2312"/>
          <w:color w:val="000000" w:themeColor="text1"/>
          <w:sz w:val="28"/>
          <w:szCs w:val="28"/>
        </w:rPr>
      </w:pPr>
      <w:r>
        <w:rPr>
          <w:rFonts w:hint="eastAsia" w:ascii="仿宋_GB2312" w:hAnsi="宋体" w:eastAsia="仿宋_GB2312"/>
          <w:color w:val="000000" w:themeColor="text1"/>
          <w:sz w:val="28"/>
          <w:szCs w:val="28"/>
        </w:rPr>
        <w:t>儿童纺织产品：年龄在3岁以上，14岁及以下的儿童穿着或使用的纺织产品（一般适用于身高100cm以上，155cm及以下女童或160cm及以下男童穿着或使用的纺织产品）。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本实施规范中未列出的术语和定义同相关引用标准。</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4 检验依据</w:t>
      </w:r>
    </w:p>
    <w:p>
      <w:pPr>
        <w:snapToGrid w:val="0"/>
        <w:spacing w:line="360" w:lineRule="auto"/>
        <w:ind w:firstLine="570"/>
        <w:outlineLvl w:val="0"/>
        <w:rPr>
          <w:rFonts w:ascii="仿宋_GB2312" w:hAnsi="宋体" w:eastAsia="仿宋_GB2312"/>
          <w:color w:val="000000"/>
          <w:sz w:val="28"/>
          <w:szCs w:val="28"/>
        </w:rPr>
      </w:pPr>
      <w:r>
        <w:rPr>
          <w:rFonts w:hint="eastAsia" w:ascii="仿宋_GB2312" w:hAnsi="宋体" w:eastAsia="仿宋_GB2312"/>
          <w:color w:val="000000"/>
          <w:sz w:val="28"/>
          <w:szCs w:val="28"/>
        </w:rPr>
        <w:t>检验依据见表2。</w:t>
      </w:r>
    </w:p>
    <w:p>
      <w:pPr>
        <w:snapToGrid w:val="0"/>
        <w:spacing w:line="360" w:lineRule="auto"/>
        <w:jc w:val="center"/>
        <w:rPr>
          <w:rFonts w:ascii="黑体" w:hAnsi="宋体" w:eastAsia="黑体"/>
          <w:color w:val="000000"/>
          <w:sz w:val="28"/>
          <w:szCs w:val="28"/>
        </w:rPr>
      </w:pPr>
      <w:r>
        <w:rPr>
          <w:rFonts w:hint="eastAsia" w:ascii="黑体" w:hAnsi="宋体" w:eastAsia="黑体"/>
          <w:color w:val="000000"/>
          <w:sz w:val="28"/>
          <w:szCs w:val="28"/>
        </w:rPr>
        <w:t>表2  检验依据</w:t>
      </w:r>
    </w:p>
    <w:tbl>
      <w:tblPr>
        <w:tblStyle w:val="21"/>
        <w:tblW w:w="9107" w:type="dxa"/>
        <w:jc w:val="center"/>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4200"/>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113" w:type="dxa"/>
            <w:vAlign w:val="center"/>
          </w:tcPr>
          <w:p>
            <w:pPr>
              <w:snapToGrid w:val="0"/>
              <w:spacing w:line="360" w:lineRule="auto"/>
              <w:jc w:val="center"/>
              <w:rPr>
                <w:rFonts w:ascii="黑体" w:hAnsi="黑体" w:eastAsia="黑体" w:cs="黑体"/>
                <w:bCs/>
                <w:color w:val="000000"/>
                <w:sz w:val="24"/>
                <w:szCs w:val="24"/>
              </w:rPr>
            </w:pPr>
            <w:r>
              <w:rPr>
                <w:rFonts w:hint="eastAsia" w:ascii="黑体" w:hAnsi="黑体" w:eastAsia="黑体" w:cs="黑体"/>
                <w:bCs/>
                <w:color w:val="000000"/>
                <w:sz w:val="24"/>
                <w:szCs w:val="24"/>
              </w:rPr>
              <w:t>标准号</w:t>
            </w:r>
          </w:p>
        </w:tc>
        <w:tc>
          <w:tcPr>
            <w:tcW w:w="4200" w:type="dxa"/>
            <w:vAlign w:val="center"/>
          </w:tcPr>
          <w:p>
            <w:pPr>
              <w:snapToGrid w:val="0"/>
              <w:spacing w:line="360" w:lineRule="auto"/>
              <w:jc w:val="center"/>
              <w:rPr>
                <w:rFonts w:ascii="黑体" w:hAnsi="黑体" w:eastAsia="黑体" w:cs="黑体"/>
                <w:bCs/>
                <w:color w:val="000000"/>
                <w:sz w:val="24"/>
                <w:szCs w:val="24"/>
              </w:rPr>
            </w:pPr>
            <w:r>
              <w:rPr>
                <w:rFonts w:hint="eastAsia" w:ascii="黑体" w:hAnsi="黑体" w:eastAsia="黑体" w:cs="黑体"/>
                <w:bCs/>
                <w:color w:val="000000"/>
                <w:sz w:val="24"/>
                <w:szCs w:val="24"/>
              </w:rPr>
              <w:t>标准名称</w:t>
            </w:r>
          </w:p>
        </w:tc>
        <w:tc>
          <w:tcPr>
            <w:tcW w:w="2794" w:type="dxa"/>
            <w:vAlign w:val="center"/>
          </w:tcPr>
          <w:p>
            <w:pPr>
              <w:snapToGrid w:val="0"/>
              <w:spacing w:line="360" w:lineRule="auto"/>
              <w:jc w:val="center"/>
              <w:rPr>
                <w:rFonts w:ascii="黑体" w:hAnsi="黑体" w:eastAsia="黑体" w:cs="黑体"/>
                <w:bCs/>
                <w:color w:val="000000"/>
                <w:sz w:val="24"/>
                <w:szCs w:val="24"/>
              </w:rPr>
            </w:pPr>
            <w:r>
              <w:rPr>
                <w:rFonts w:hint="eastAsia" w:ascii="黑体" w:hAnsi="黑体" w:eastAsia="黑体" w:cs="黑体"/>
                <w:bCs/>
                <w:color w:val="000000"/>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3"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18401</w:t>
            </w:r>
          </w:p>
        </w:tc>
        <w:tc>
          <w:tcPr>
            <w:tcW w:w="4200"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国家纺织产品基本安全技术规范</w:t>
            </w:r>
          </w:p>
        </w:tc>
        <w:tc>
          <w:tcPr>
            <w:tcW w:w="2794"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CMA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CAL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3"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 31701</w:t>
            </w:r>
          </w:p>
        </w:tc>
        <w:tc>
          <w:tcPr>
            <w:tcW w:w="4200"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婴幼儿及儿童纺织产品安全技术规范</w:t>
            </w:r>
          </w:p>
        </w:tc>
        <w:tc>
          <w:tcPr>
            <w:tcW w:w="2794" w:type="dxa"/>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CMA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CAL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3"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GB/T 29862</w:t>
            </w:r>
          </w:p>
        </w:tc>
        <w:tc>
          <w:tcPr>
            <w:tcW w:w="4200" w:type="dxa"/>
            <w:vAlign w:val="center"/>
          </w:tcPr>
          <w:p>
            <w:pPr>
              <w:spacing w:before="50"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纺织品 纤维含量的标识</w:t>
            </w:r>
          </w:p>
        </w:tc>
        <w:tc>
          <w:tcPr>
            <w:tcW w:w="2794" w:type="dxa"/>
            <w:vAlign w:val="center"/>
          </w:tcPr>
          <w:p>
            <w:pPr>
              <w:snapToGrid w:val="0"/>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CMA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 xml:space="preserve">CAL </w:t>
            </w: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相关产品的强制性标准、行业标准、政府法规及产品的明示标准（包括备案的企业标准）和明示担保内容。</w:t>
      </w:r>
      <w:bookmarkStart w:id="0" w:name="OLE_LINK2"/>
    </w:p>
    <w:bookmarkEnd w:id="0"/>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 抽样</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根据产品的销售单元（件/条/个/套）抽取相同款式（货/款号）、相同花型和相同颜色的同一批次的产品。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5.3 抽样基数</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在生产企业和流通领域抽样的，抽样基数满足抽样数量即可。</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5.4 抽样数量</w:t>
      </w:r>
    </w:p>
    <w:p>
      <w:pPr>
        <w:snapToGrid w:val="0"/>
        <w:spacing w:line="4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抽取样品的数量不得超过检验、复检的合理需要，具体数量见表3。</w:t>
      </w:r>
    </w:p>
    <w:p>
      <w:pPr>
        <w:snapToGrid w:val="0"/>
        <w:spacing w:line="440" w:lineRule="exact"/>
        <w:jc w:val="center"/>
        <w:rPr>
          <w:rFonts w:ascii="黑体" w:hAnsi="宋体" w:eastAsia="黑体"/>
          <w:sz w:val="28"/>
          <w:szCs w:val="28"/>
        </w:rPr>
      </w:pPr>
      <w:r>
        <w:rPr>
          <w:rFonts w:hint="eastAsia" w:ascii="黑体" w:hAnsi="宋体" w:eastAsia="黑体"/>
          <w:sz w:val="28"/>
          <w:szCs w:val="28"/>
        </w:rPr>
        <w:t>表3  每批次样品数量要求</w:t>
      </w:r>
    </w:p>
    <w:tbl>
      <w:tblPr>
        <w:tblStyle w:val="2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402"/>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84"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类别</w:t>
            </w:r>
          </w:p>
        </w:tc>
        <w:tc>
          <w:tcPr>
            <w:tcW w:w="3402"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品种</w:t>
            </w:r>
          </w:p>
        </w:tc>
        <w:tc>
          <w:tcPr>
            <w:tcW w:w="1985"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检验样品数量</w:t>
            </w:r>
          </w:p>
        </w:tc>
        <w:tc>
          <w:tcPr>
            <w:tcW w:w="1701"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84" w:type="dxa"/>
            <w:vMerge w:val="restart"/>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无填充物床上用品</w:t>
            </w:r>
          </w:p>
        </w:tc>
        <w:tc>
          <w:tcPr>
            <w:tcW w:w="3402"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床单、被套、床笠、床罩、</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配套床上用品、毯类等</w:t>
            </w:r>
          </w:p>
        </w:tc>
        <w:tc>
          <w:tcPr>
            <w:tcW w:w="1985"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c>
          <w:tcPr>
            <w:tcW w:w="1701"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84" w:type="dxa"/>
            <w:vMerge w:val="continue"/>
            <w:vAlign w:val="center"/>
          </w:tcPr>
          <w:p>
            <w:pPr>
              <w:pStyle w:val="7"/>
              <w:snapToGrid w:val="0"/>
              <w:spacing w:beforeLines="25" w:afterLines="25"/>
              <w:jc w:val="center"/>
              <w:rPr>
                <w:rFonts w:ascii="仿宋_GB2312" w:hAnsi="宋体" w:eastAsia="仿宋_GB2312"/>
                <w:color w:val="000000"/>
                <w:sz w:val="24"/>
                <w:szCs w:val="24"/>
              </w:rPr>
            </w:pPr>
          </w:p>
        </w:tc>
        <w:tc>
          <w:tcPr>
            <w:tcW w:w="3402"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枕套</w:t>
            </w:r>
          </w:p>
        </w:tc>
        <w:tc>
          <w:tcPr>
            <w:tcW w:w="1985"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2件（套）</w:t>
            </w:r>
          </w:p>
        </w:tc>
        <w:tc>
          <w:tcPr>
            <w:tcW w:w="1701"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84" w:type="dxa"/>
            <w:vMerge w:val="restart"/>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有填充物床上用品</w:t>
            </w:r>
          </w:p>
        </w:tc>
        <w:tc>
          <w:tcPr>
            <w:tcW w:w="3402"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绗缝制品、被类（棉被、羊毛被、羊绒被、蚕丝被、化纤被、羽绒羽毛被）、羽绒羽毛睡袋等</w:t>
            </w:r>
          </w:p>
        </w:tc>
        <w:tc>
          <w:tcPr>
            <w:tcW w:w="1985"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c>
          <w:tcPr>
            <w:tcW w:w="1701"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84" w:type="dxa"/>
            <w:vMerge w:val="continue"/>
            <w:vAlign w:val="center"/>
          </w:tcPr>
          <w:p>
            <w:pPr>
              <w:pStyle w:val="7"/>
              <w:snapToGrid w:val="0"/>
              <w:spacing w:beforeLines="25" w:afterLines="25"/>
              <w:jc w:val="center"/>
              <w:rPr>
                <w:rFonts w:ascii="仿宋_GB2312" w:hAnsi="宋体" w:eastAsia="仿宋_GB2312"/>
                <w:color w:val="000000"/>
                <w:sz w:val="24"/>
                <w:szCs w:val="24"/>
              </w:rPr>
            </w:pPr>
          </w:p>
        </w:tc>
        <w:tc>
          <w:tcPr>
            <w:tcW w:w="3402"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枕、垫类产品</w:t>
            </w:r>
          </w:p>
        </w:tc>
        <w:tc>
          <w:tcPr>
            <w:tcW w:w="1985"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2件（套）</w:t>
            </w:r>
          </w:p>
        </w:tc>
        <w:tc>
          <w:tcPr>
            <w:tcW w:w="1701"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1件（套）</w:t>
            </w:r>
          </w:p>
        </w:tc>
      </w:tr>
    </w:tbl>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5.5 样品处置</w:t>
      </w:r>
    </w:p>
    <w:p>
      <w:pPr>
        <w:spacing w:line="360" w:lineRule="auto"/>
        <w:rPr>
          <w:rFonts w:ascii="仿宋_GB2312" w:hAnsi="宋体" w:eastAsia="仿宋_GB2312"/>
          <w:color w:val="000000"/>
          <w:sz w:val="28"/>
          <w:szCs w:val="28"/>
        </w:rPr>
      </w:pPr>
      <w:r>
        <w:rPr>
          <w:rFonts w:hint="eastAsia" w:ascii="仿宋_GB2312" w:hAnsi="ˎ̥" w:eastAsia="仿宋_GB2312"/>
          <w:b/>
          <w:color w:val="000000"/>
          <w:sz w:val="28"/>
          <w:szCs w:val="28"/>
        </w:rPr>
        <w:t xml:space="preserve">5.5.1 </w:t>
      </w:r>
      <w:r>
        <w:rPr>
          <w:rFonts w:hint="eastAsia" w:ascii="仿宋_GB2312" w:hAnsi="宋体" w:eastAsia="仿宋_GB2312"/>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宋体" w:eastAsia="仿宋_GB2312"/>
          <w:color w:val="000000"/>
          <w:sz w:val="28"/>
          <w:szCs w:val="28"/>
        </w:rPr>
      </w:pPr>
      <w:r>
        <w:rPr>
          <w:rFonts w:hint="eastAsia" w:ascii="仿宋_GB2312" w:hAnsi="宋体" w:eastAsia="仿宋_GB2312"/>
          <w:b/>
          <w:color w:val="000000"/>
          <w:sz w:val="28"/>
          <w:szCs w:val="28"/>
        </w:rPr>
        <w:t>5.5.2</w:t>
      </w:r>
      <w:r>
        <w:rPr>
          <w:rFonts w:hint="eastAsia" w:ascii="仿宋_GB2312" w:eastAsia="仿宋_GB2312"/>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autoSpaceDE w:val="0"/>
        <w:autoSpaceDN w:val="0"/>
        <w:adjustRightIn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5.6 抽样单</w:t>
      </w:r>
    </w:p>
    <w:p>
      <w:pPr>
        <w:snapToGrid w:val="0"/>
        <w:spacing w:line="360" w:lineRule="auto"/>
        <w:ind w:firstLine="537" w:firstLineChars="192"/>
        <w:rPr>
          <w:rFonts w:ascii="仿宋_GB2312"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应按有关规定填写抽样单，并记录被抽查产品及企业相关信息。同时记录被抽查企业上一年度生产的该产品销售总额，以万元计。</w:t>
      </w:r>
      <w:r>
        <w:rPr>
          <w:rFonts w:hint="eastAsia" w:ascii="仿宋_GB2312" w:eastAsia="仿宋_GB2312" w:cs="Sim Sun"/>
          <w:color w:val="000000"/>
          <w:kern w:val="0"/>
          <w:sz w:val="28"/>
          <w:szCs w:val="28"/>
        </w:rPr>
        <w:t>若上一年度没有生产该产品，那么以本年度已实际生产的该产品销售额来统计。</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 检验要求</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6.1 检验项目</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（一）无填充物床上用品</w:t>
      </w:r>
    </w:p>
    <w:p>
      <w:pPr>
        <w:snapToGrid w:val="0"/>
        <w:spacing w:line="360" w:lineRule="auto"/>
        <w:jc w:val="center"/>
        <w:rPr>
          <w:rFonts w:ascii="黑体" w:hAnsi="宋体" w:eastAsia="黑体"/>
          <w:sz w:val="28"/>
          <w:szCs w:val="28"/>
        </w:rPr>
      </w:pPr>
      <w:r>
        <w:rPr>
          <w:rFonts w:hint="eastAsia" w:ascii="黑体" w:hAnsi="宋体" w:eastAsia="黑体"/>
          <w:sz w:val="28"/>
          <w:szCs w:val="28"/>
        </w:rPr>
        <w:t>表4  无填充物床上用品检验项目、依据及方法等要求</w:t>
      </w:r>
    </w:p>
    <w:tbl>
      <w:tblPr>
        <w:tblStyle w:val="21"/>
        <w:tblW w:w="9680" w:type="dxa"/>
        <w:jc w:val="center"/>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6"/>
        <w:gridCol w:w="2577"/>
        <w:gridCol w:w="1097"/>
        <w:gridCol w:w="165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blHeader/>
          <w:jc w:val="center"/>
        </w:trPr>
        <w:tc>
          <w:tcPr>
            <w:tcW w:w="709"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序号</w:t>
            </w:r>
          </w:p>
        </w:tc>
        <w:tc>
          <w:tcPr>
            <w:tcW w:w="2016"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检验项目</w:t>
            </w:r>
          </w:p>
        </w:tc>
        <w:tc>
          <w:tcPr>
            <w:tcW w:w="2577"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依据法律法规</w:t>
            </w:r>
          </w:p>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或标准条款</w:t>
            </w:r>
          </w:p>
        </w:tc>
        <w:tc>
          <w:tcPr>
            <w:tcW w:w="1097" w:type="dxa"/>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强制/推荐性</w:t>
            </w:r>
          </w:p>
        </w:tc>
        <w:tc>
          <w:tcPr>
            <w:tcW w:w="1656" w:type="dxa"/>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 xml:space="preserve"> 检测方法</w:t>
            </w:r>
          </w:p>
        </w:tc>
        <w:tc>
          <w:tcPr>
            <w:tcW w:w="1625" w:type="dxa"/>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复检样品</w:t>
            </w:r>
          </w:p>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甲醛含量</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2912.1</w:t>
            </w:r>
          </w:p>
        </w:tc>
        <w:tc>
          <w:tcPr>
            <w:tcW w:w="1625"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pH值</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7573</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可分解致癌芳香胺染料</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17592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23344</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异味</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18401</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耐水色牢度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5713</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耐酸汗渍色牢度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3922</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7</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耐碱汗渍色牢度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3922</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耐干摩擦色牢度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3920</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耐湿摩擦色牢度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3920</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耐唾液色牢度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GB 31701 4.2 </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18886</w:t>
            </w:r>
          </w:p>
        </w:tc>
        <w:tc>
          <w:tcPr>
            <w:tcW w:w="1625" w:type="dxa"/>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重金属</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30157</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邻苯二甲酸酯</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20388</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燃烧性能</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14644</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附件抗拉强力</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4.4.1</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附录A</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附件锐利性</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4.4.2</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31702</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01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其他要求</w:t>
            </w:r>
          </w:p>
        </w:tc>
        <w:tc>
          <w:tcPr>
            <w:tcW w:w="257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4.5.1、4.5.2</w:t>
            </w:r>
          </w:p>
        </w:tc>
        <w:tc>
          <w:tcPr>
            <w:tcW w:w="1097"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1656" w:type="dxa"/>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目测、GB/T 24121</w:t>
            </w:r>
          </w:p>
        </w:tc>
        <w:tc>
          <w:tcPr>
            <w:tcW w:w="1625" w:type="dxa"/>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17</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耐皂洗色牢度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625" w:type="dxa"/>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18</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耐光色牢度</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8427</w:t>
            </w:r>
          </w:p>
        </w:tc>
        <w:tc>
          <w:tcPr>
            <w:tcW w:w="1625" w:type="dxa"/>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19</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 xml:space="preserve">纤维含量 </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29862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FZ/T 01057</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2910等</w:t>
            </w:r>
          </w:p>
        </w:tc>
        <w:tc>
          <w:tcPr>
            <w:tcW w:w="1625" w:type="dxa"/>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20</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起球</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625" w:type="dxa"/>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21</w:t>
            </w:r>
          </w:p>
        </w:tc>
        <w:tc>
          <w:tcPr>
            <w:tcW w:w="201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断裂强力</w:t>
            </w:r>
          </w:p>
        </w:tc>
        <w:tc>
          <w:tcPr>
            <w:tcW w:w="257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097"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1656" w:type="dxa"/>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625" w:type="dxa"/>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0" w:type="dxa"/>
            <w:gridSpan w:val="6"/>
            <w:vAlign w:val="center"/>
          </w:tcPr>
          <w:p>
            <w:pPr>
              <w:pStyle w:val="7"/>
              <w:snapToGrid w:val="0"/>
              <w:spacing w:beforeLines="25" w:afterLines="25"/>
              <w:jc w:val="left"/>
              <w:rPr>
                <w:rFonts w:ascii="仿宋_GB2312" w:hAnsi="宋体" w:eastAsia="仿宋_GB2312"/>
                <w:color w:val="000000"/>
                <w:sz w:val="24"/>
                <w:szCs w:val="24"/>
              </w:rPr>
            </w:pPr>
            <w:r>
              <w:rPr>
                <w:rFonts w:hint="eastAsia" w:ascii="仿宋_GB2312" w:hAnsi="宋体" w:eastAsia="仿宋_GB2312"/>
                <w:color w:val="000000"/>
                <w:sz w:val="24"/>
                <w:szCs w:val="24"/>
              </w:rPr>
              <w:t>注1、对于原样复检的项目，如样本量不够时采用备样复检；</w:t>
            </w:r>
          </w:p>
          <w:p>
            <w:pPr>
              <w:pStyle w:val="7"/>
              <w:snapToGrid w:val="0"/>
              <w:spacing w:beforeLines="25" w:afterLines="25"/>
              <w:jc w:val="left"/>
              <w:rPr>
                <w:rFonts w:ascii="仿宋_GB2312" w:hAnsi="宋体" w:eastAsia="仿宋_GB2312"/>
                <w:color w:val="000000"/>
                <w:sz w:val="24"/>
                <w:szCs w:val="24"/>
              </w:rPr>
            </w:pPr>
            <w:r>
              <w:rPr>
                <w:rFonts w:hint="eastAsia" w:ascii="仿宋_GB2312" w:hAnsi="宋体" w:eastAsia="仿宋_GB2312"/>
                <w:color w:val="000000"/>
                <w:sz w:val="24"/>
                <w:szCs w:val="24"/>
              </w:rPr>
              <w:t>2、如产品明示适用于婴幼儿或14岁及以下儿童，则强制性标准按照GB31701-2015执行。</w:t>
            </w:r>
          </w:p>
        </w:tc>
      </w:tr>
    </w:tbl>
    <w:p>
      <w:pPr>
        <w:snapToGrid w:val="0"/>
        <w:spacing w:line="360" w:lineRule="auto"/>
        <w:rPr>
          <w:rFonts w:ascii="仿宋_GB2312" w:hAnsi="仿宋" w:eastAsia="仿宋_GB2312"/>
          <w:color w:val="000000"/>
          <w:sz w:val="32"/>
          <w:szCs w:val="32"/>
        </w:rPr>
      </w:pPr>
      <w:r>
        <w:rPr>
          <w:rFonts w:hint="eastAsia" w:ascii="仿宋_GB2312" w:hAnsi="宋体" w:eastAsia="仿宋_GB2312"/>
          <w:b/>
          <w:color w:val="000000"/>
          <w:sz w:val="28"/>
          <w:szCs w:val="28"/>
        </w:rPr>
        <w:t>（二）有填充物床上用品</w:t>
      </w:r>
    </w:p>
    <w:p>
      <w:pPr>
        <w:snapToGrid w:val="0"/>
        <w:spacing w:line="360" w:lineRule="auto"/>
        <w:jc w:val="center"/>
        <w:rPr>
          <w:rFonts w:ascii="黑体" w:hAnsi="宋体" w:eastAsia="黑体"/>
          <w:sz w:val="28"/>
          <w:szCs w:val="28"/>
        </w:rPr>
      </w:pPr>
      <w:r>
        <w:rPr>
          <w:rFonts w:hint="eastAsia" w:ascii="黑体" w:hAnsi="宋体" w:eastAsia="黑体"/>
          <w:sz w:val="28"/>
          <w:szCs w:val="28"/>
        </w:rPr>
        <w:t>表5 有填充物床上用品检验项目、依据及方法等要求</w:t>
      </w:r>
    </w:p>
    <w:tbl>
      <w:tblPr>
        <w:tblStyle w:val="21"/>
        <w:tblW w:w="9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5"/>
        <w:gridCol w:w="2160"/>
        <w:gridCol w:w="2061"/>
        <w:gridCol w:w="1186"/>
        <w:gridCol w:w="2268"/>
        <w:gridCol w:w="1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45" w:hRule="atLeast"/>
          <w:tblHeader/>
          <w:jc w:val="center"/>
        </w:trPr>
        <w:tc>
          <w:tcPr>
            <w:tcW w:w="625" w:type="dxa"/>
            <w:tcBorders>
              <w:top w:val="single" w:color="auto" w:sz="6" w:space="0"/>
              <w:left w:val="single" w:color="auto" w:sz="6" w:space="0"/>
            </w:tcBorders>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序号</w:t>
            </w:r>
          </w:p>
        </w:tc>
        <w:tc>
          <w:tcPr>
            <w:tcW w:w="2160" w:type="dxa"/>
            <w:tcBorders>
              <w:top w:val="single" w:color="auto" w:sz="6" w:space="0"/>
            </w:tcBorders>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检验项目</w:t>
            </w:r>
          </w:p>
        </w:tc>
        <w:tc>
          <w:tcPr>
            <w:tcW w:w="2061" w:type="dxa"/>
            <w:tcBorders>
              <w:top w:val="single" w:color="auto" w:sz="6" w:space="0"/>
            </w:tcBorders>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依据法律法规</w:t>
            </w:r>
          </w:p>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或标准条款</w:t>
            </w:r>
          </w:p>
        </w:tc>
        <w:tc>
          <w:tcPr>
            <w:tcW w:w="1186" w:type="dxa"/>
            <w:tcBorders>
              <w:top w:val="single" w:color="auto" w:sz="6" w:space="0"/>
            </w:tcBorders>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强制/推荐性</w:t>
            </w:r>
          </w:p>
        </w:tc>
        <w:tc>
          <w:tcPr>
            <w:tcW w:w="2268" w:type="dxa"/>
            <w:tcBorders>
              <w:top w:val="single" w:color="auto" w:sz="6" w:space="0"/>
              <w:right w:val="single" w:color="auto" w:sz="4" w:space="0"/>
            </w:tcBorders>
            <w:vAlign w:val="center"/>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检测方法</w:t>
            </w:r>
          </w:p>
        </w:tc>
        <w:tc>
          <w:tcPr>
            <w:tcW w:w="1222" w:type="dxa"/>
            <w:tcBorders>
              <w:top w:val="single" w:color="auto" w:sz="6" w:space="0"/>
              <w:right w:val="single" w:color="auto" w:sz="4" w:space="0"/>
            </w:tcBorders>
          </w:tcPr>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复检样品</w:t>
            </w:r>
          </w:p>
          <w:p>
            <w:pPr>
              <w:snapToGrid w:val="0"/>
              <w:spacing w:beforeLines="25" w:afterLines="25"/>
              <w:jc w:val="center"/>
              <w:rPr>
                <w:rFonts w:ascii="黑体" w:hAnsi="宋体" w:eastAsia="黑体"/>
                <w:color w:val="000000"/>
                <w:sz w:val="24"/>
              </w:rPr>
            </w:pPr>
            <w:r>
              <w:rPr>
                <w:rFonts w:hint="eastAsia" w:ascii="黑体" w:hAnsi="宋体" w:eastAsia="黑体"/>
                <w:color w:val="000000"/>
                <w:sz w:val="24"/>
              </w:rPr>
              <w:t>[注1]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甲醛含量（填充物及胎套）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2912.1</w:t>
            </w:r>
          </w:p>
        </w:tc>
        <w:tc>
          <w:tcPr>
            <w:tcW w:w="1222"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pH值（填充物及胎套）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7573</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3</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可分解致癌芳香胺染料（胎套）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17592</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23344</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异味</w:t>
            </w:r>
            <w:r>
              <w:rPr>
                <w:rFonts w:hint="eastAsia" w:ascii="仿宋_GB2312" w:hAnsi="宋体" w:eastAsia="仿宋_GB2312" w:cs="宋体"/>
                <w:bCs/>
                <w:sz w:val="24"/>
                <w:szCs w:val="24"/>
              </w:rPr>
              <w:t>（填充物及胎套）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 xml:space="preserve">GB 31701 4.2 </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18401</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5</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耐水色牢度（胎套）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5713</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6</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耐酸汗渍色牢度（胎套）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3922</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7</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耐碱汗渍色牢度（胎套）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3922</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8</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耐干摩擦色牢度（胎套）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3920</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9</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耐湿摩擦色牢度（胎套）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3920</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10</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耐唾液色牢度（胎套）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s="宋体"/>
                <w:bCs/>
                <w:sz w:val="24"/>
                <w:szCs w:val="24"/>
              </w:rPr>
              <w:t>GB 18401 5.1</w:t>
            </w:r>
          </w:p>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 31701 4.2</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18886</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11</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重金属</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30157</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12</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邻苯二甲酸酯</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20388</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13</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燃烧性能</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14644</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14</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附件抗拉强力</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4.4.1</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附录A</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15</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附件锐利性</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4.4.2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GB/T 31702</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16</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其他要求</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GB 31701 4.5.1、4.5.2</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强制性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sz w:val="24"/>
                <w:szCs w:val="24"/>
              </w:rPr>
            </w:pPr>
            <w:r>
              <w:rPr>
                <w:rFonts w:hint="eastAsia" w:ascii="仿宋_GB2312" w:hAnsi="宋体" w:eastAsia="仿宋_GB2312"/>
                <w:sz w:val="24"/>
                <w:szCs w:val="24"/>
              </w:rPr>
              <w:t>目测、GB/T 24121</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17</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耐光色牢度</w:t>
            </w:r>
            <w:r>
              <w:rPr>
                <w:rFonts w:hint="eastAsia" w:ascii="仿宋_GB2312" w:hAnsi="宋体" w:eastAsia="仿宋_GB2312" w:cs="宋体"/>
                <w:bCs/>
                <w:sz w:val="24"/>
                <w:szCs w:val="24"/>
              </w:rPr>
              <w:t>（胎套）</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GB/T 8427</w:t>
            </w:r>
          </w:p>
        </w:tc>
        <w:tc>
          <w:tcPr>
            <w:tcW w:w="1222"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olor w:val="000000"/>
              </w:rPr>
            </w:pPr>
            <w:r>
              <w:rPr>
                <w:rFonts w:hint="eastAsia" w:ascii="仿宋_GB2312" w:hAnsi="宋体" w:eastAsia="仿宋_GB2312"/>
                <w:color w:val="000000"/>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6"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18</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纤维含量（胎套及填充物）</w:t>
            </w:r>
          </w:p>
        </w:tc>
        <w:tc>
          <w:tcPr>
            <w:tcW w:w="2061"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29862</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FZ/T 01057</w:t>
            </w:r>
          </w:p>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GB/T 2910 等</w:t>
            </w:r>
          </w:p>
        </w:tc>
        <w:tc>
          <w:tcPr>
            <w:tcW w:w="1222" w:type="dxa"/>
            <w:tcBorders>
              <w:top w:val="single" w:color="auto" w:sz="4" w:space="0"/>
              <w:left w:val="single" w:color="auto" w:sz="4" w:space="0"/>
              <w:bottom w:val="single" w:color="auto" w:sz="6"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6"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19</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断裂强力（胎套）</w:t>
            </w:r>
          </w:p>
        </w:tc>
        <w:tc>
          <w:tcPr>
            <w:tcW w:w="2061"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6"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6"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20</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起球（胎套）</w:t>
            </w:r>
          </w:p>
        </w:tc>
        <w:tc>
          <w:tcPr>
            <w:tcW w:w="2061"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6"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6"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21</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填充物品质</w:t>
            </w:r>
          </w:p>
        </w:tc>
        <w:tc>
          <w:tcPr>
            <w:tcW w:w="2061"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6"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6"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22</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填充物质量偏差率</w:t>
            </w:r>
          </w:p>
        </w:tc>
        <w:tc>
          <w:tcPr>
            <w:tcW w:w="2061"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6"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6"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23</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绒子含量</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鸭毛（绒）含量</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25</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蓬松度</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26</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防钻绒性</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27</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含油率</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625" w:type="dxa"/>
            <w:tcBorders>
              <w:top w:val="single" w:color="auto" w:sz="4" w:space="0"/>
              <w:left w:val="single" w:color="auto" w:sz="6" w:space="0"/>
              <w:bottom w:val="single" w:color="auto" w:sz="4" w:space="0"/>
              <w:right w:val="single" w:color="auto" w:sz="6"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28</w:t>
            </w:r>
          </w:p>
        </w:tc>
        <w:tc>
          <w:tcPr>
            <w:tcW w:w="2160"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压缩回弹性能</w:t>
            </w:r>
          </w:p>
        </w:tc>
        <w:tc>
          <w:tcPr>
            <w:tcW w:w="2061"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186"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推荐性</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snapToGrid w:val="0"/>
              <w:spacing w:beforeLines="25" w:afterLines="25"/>
              <w:jc w:val="center"/>
              <w:rPr>
                <w:rFonts w:ascii="仿宋_GB2312" w:hAnsi="宋体" w:eastAsia="仿宋_GB2312" w:cs="宋体"/>
                <w:bCs/>
                <w:sz w:val="24"/>
                <w:szCs w:val="24"/>
              </w:rPr>
            </w:pPr>
            <w:r>
              <w:rPr>
                <w:rFonts w:hint="eastAsia" w:ascii="仿宋_GB2312" w:hAnsi="宋体" w:eastAsia="仿宋_GB2312" w:cs="宋体"/>
                <w:bCs/>
                <w:sz w:val="24"/>
                <w:szCs w:val="24"/>
              </w:rPr>
              <w:t>相应产品标准</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olor w:val="000000"/>
                <w:sz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55" w:hRule="atLeast"/>
          <w:jc w:val="center"/>
        </w:trPr>
        <w:tc>
          <w:tcPr>
            <w:tcW w:w="9522" w:type="dxa"/>
            <w:gridSpan w:val="6"/>
            <w:tcBorders>
              <w:top w:val="single" w:color="auto" w:sz="4" w:space="0"/>
              <w:left w:val="single" w:color="auto" w:sz="6" w:space="0"/>
              <w:bottom w:val="single" w:color="auto" w:sz="6" w:space="0"/>
              <w:right w:val="single" w:color="auto" w:sz="4" w:space="0"/>
            </w:tcBorders>
            <w:vAlign w:val="center"/>
          </w:tcPr>
          <w:p>
            <w:pPr>
              <w:spacing w:line="320" w:lineRule="exact"/>
              <w:ind w:left="90" w:hanging="90"/>
              <w:jc w:val="left"/>
              <w:rPr>
                <w:rFonts w:ascii="仿宋_GB2312" w:hAnsi="宋体" w:eastAsia="仿宋_GB2312"/>
                <w:color w:val="000000" w:themeColor="text1"/>
                <w:sz w:val="24"/>
              </w:rPr>
            </w:pPr>
            <w:r>
              <w:rPr>
                <w:rFonts w:hint="eastAsia" w:ascii="仿宋_GB2312" w:hAnsi="宋体" w:eastAsia="仿宋_GB2312"/>
                <w:color w:val="000000" w:themeColor="text1"/>
                <w:sz w:val="24"/>
              </w:rPr>
              <w:t>注1：对于原样复检的项目，如样本量不够时采用备样复检</w:t>
            </w:r>
          </w:p>
          <w:p>
            <w:pPr>
              <w:spacing w:line="320" w:lineRule="exact"/>
              <w:ind w:left="90" w:hanging="90"/>
              <w:jc w:val="left"/>
              <w:rPr>
                <w:rFonts w:ascii="仿宋_GB2312" w:eastAsia="仿宋_GB2312"/>
                <w:szCs w:val="21"/>
              </w:rPr>
            </w:pPr>
            <w:r>
              <w:rPr>
                <w:rFonts w:hint="eastAsia" w:ascii="仿宋_GB2312" w:hAnsi="宋体" w:eastAsia="仿宋_GB2312" w:cs="宋体"/>
                <w:bCs/>
                <w:color w:val="000000" w:themeColor="text1"/>
                <w:sz w:val="24"/>
                <w:szCs w:val="24"/>
              </w:rPr>
              <w:t>2、如产品明示适用于婴幼儿或14岁及以下儿童，则强制性标准按照GB31701-2015执行。</w:t>
            </w:r>
          </w:p>
        </w:tc>
      </w:tr>
    </w:tbl>
    <w:p>
      <w:pPr>
        <w:snapToGrid w:val="0"/>
        <w:spacing w:line="360" w:lineRule="auto"/>
        <w:rPr>
          <w:rFonts w:ascii="仿宋_GB2312" w:eastAsia="仿宋_GB2312" w:cs="Sim Sun"/>
          <w:b/>
          <w:color w:val="000000"/>
          <w:kern w:val="0"/>
          <w:sz w:val="28"/>
          <w:szCs w:val="28"/>
        </w:rPr>
      </w:pPr>
    </w:p>
    <w:p>
      <w:pPr>
        <w:snapToGrid w:val="0"/>
        <w:spacing w:line="360" w:lineRule="auto"/>
        <w:rPr>
          <w:rFonts w:ascii="仿宋_GB2312" w:hAnsi="宋体" w:eastAsia="仿宋_GB2312"/>
          <w:b/>
          <w:color w:val="000000"/>
          <w:sz w:val="28"/>
          <w:szCs w:val="28"/>
        </w:rPr>
      </w:pPr>
      <w:r>
        <w:rPr>
          <w:rFonts w:hint="eastAsia" w:ascii="仿宋_GB2312" w:eastAsia="仿宋_GB2312" w:cs="Sim Sun"/>
          <w:b/>
          <w:color w:val="000000"/>
          <w:kern w:val="0"/>
          <w:sz w:val="28"/>
          <w:szCs w:val="28"/>
        </w:rPr>
        <w:t>6.2 检验应注意的问题</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6.2.1取样要求</w:t>
      </w:r>
    </w:p>
    <w:p>
      <w:pPr>
        <w:snapToGrid w:val="0"/>
        <w:spacing w:line="360" w:lineRule="auto"/>
        <w:ind w:firstLine="560" w:firstLineChars="200"/>
        <w:rPr>
          <w:rFonts w:ascii="仿宋_GB2312" w:eastAsia="仿宋_GB2312" w:cs="Sim Sun"/>
          <w:kern w:val="0"/>
          <w:sz w:val="28"/>
          <w:szCs w:val="28"/>
        </w:rPr>
      </w:pPr>
      <w:r>
        <w:rPr>
          <w:rFonts w:ascii="仿宋_GB2312" w:eastAsia="仿宋_GB2312" w:cs="Sim Sun"/>
          <w:kern w:val="0"/>
          <w:sz w:val="28"/>
          <w:szCs w:val="28"/>
        </w:rPr>
        <w:t>对于</w:t>
      </w:r>
      <w:r>
        <w:rPr>
          <w:rFonts w:hint="eastAsia" w:ascii="仿宋_GB2312" w:eastAsia="仿宋_GB2312" w:cs="Sim Sun"/>
          <w:kern w:val="0"/>
          <w:sz w:val="28"/>
          <w:szCs w:val="28"/>
        </w:rPr>
        <w:t>素</w:t>
      </w:r>
      <w:r>
        <w:rPr>
          <w:rFonts w:ascii="仿宋_GB2312" w:eastAsia="仿宋_GB2312" w:cs="Sim Sun"/>
          <w:kern w:val="0"/>
          <w:sz w:val="28"/>
          <w:szCs w:val="28"/>
        </w:rPr>
        <w:t>色</w:t>
      </w:r>
      <w:r>
        <w:rPr>
          <w:rFonts w:hint="eastAsia" w:ascii="仿宋_GB2312" w:eastAsia="仿宋_GB2312" w:cs="Sim Sun"/>
          <w:kern w:val="0"/>
          <w:sz w:val="28"/>
          <w:szCs w:val="28"/>
        </w:rPr>
        <w:t>、相同材质</w:t>
      </w:r>
      <w:r>
        <w:rPr>
          <w:rFonts w:ascii="仿宋_GB2312" w:eastAsia="仿宋_GB2312" w:cs="Sim Sun"/>
          <w:kern w:val="0"/>
          <w:sz w:val="28"/>
          <w:szCs w:val="28"/>
        </w:rPr>
        <w:t>、均匀混色或</w:t>
      </w:r>
      <w:r>
        <w:rPr>
          <w:rFonts w:hint="eastAsia" w:ascii="仿宋_GB2312" w:eastAsia="仿宋_GB2312" w:cs="Sim Sun"/>
          <w:kern w:val="0"/>
          <w:sz w:val="28"/>
          <w:szCs w:val="28"/>
        </w:rPr>
        <w:t>小循环印花、色织及</w:t>
      </w:r>
      <w:r>
        <w:rPr>
          <w:rFonts w:ascii="仿宋_GB2312" w:eastAsia="仿宋_GB2312" w:cs="Sim Sun"/>
          <w:kern w:val="0"/>
          <w:sz w:val="28"/>
          <w:szCs w:val="28"/>
        </w:rPr>
        <w:t>类似效果的</w:t>
      </w:r>
      <w:r>
        <w:rPr>
          <w:rFonts w:hint="eastAsia" w:ascii="仿宋_GB2312" w:eastAsia="仿宋_GB2312" w:cs="Sim Sun"/>
          <w:kern w:val="0"/>
          <w:sz w:val="28"/>
          <w:szCs w:val="28"/>
        </w:rPr>
        <w:t>材料</w:t>
      </w:r>
      <w:r>
        <w:rPr>
          <w:rFonts w:ascii="仿宋_GB2312" w:eastAsia="仿宋_GB2312" w:cs="Sim Sun"/>
          <w:kern w:val="0"/>
          <w:sz w:val="28"/>
          <w:szCs w:val="28"/>
        </w:rPr>
        <w:t>，</w:t>
      </w:r>
      <w:r>
        <w:rPr>
          <w:rFonts w:hint="eastAsia" w:ascii="仿宋_GB2312" w:eastAsia="仿宋_GB2312" w:cs="Sim Sun"/>
          <w:kern w:val="0"/>
          <w:sz w:val="28"/>
          <w:szCs w:val="28"/>
        </w:rPr>
        <w:t>按相应的试验方法标准规定取样</w:t>
      </w:r>
      <w:r>
        <w:rPr>
          <w:rFonts w:ascii="仿宋_GB2312" w:eastAsia="仿宋_GB2312" w:cs="Sim Sun"/>
          <w:kern w:val="0"/>
          <w:sz w:val="28"/>
          <w:szCs w:val="28"/>
        </w:rPr>
        <w:t>。</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对于花型循环较大或无规律的印花和色织产品，色牢度试验分别取各色相检测，以级别最低的作为试验结果。</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局部印花、独立印花或分散花型，取样应该包括印花图案中的各种颜色；如果这些印花色相不同，可分别取样。当局部印花图案很小时，只能在同一件样品中连同底布取足一个试样，不可从多个样品中剪取后合为一个试样。</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的试样，当混色取样时，同种材质的每个试样一般不可超过三种颜色，如混色检验检出阳性时，应分色重检。</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同一样品不同材质、不同色别或花型的</w:t>
      </w:r>
      <w:r>
        <w:rPr>
          <w:rFonts w:ascii="仿宋_GB2312" w:eastAsia="仿宋_GB2312" w:cs="Sim Sun"/>
          <w:kern w:val="0"/>
          <w:sz w:val="28"/>
          <w:szCs w:val="28"/>
        </w:rPr>
        <w:t>多组件组成</w:t>
      </w:r>
      <w:r>
        <w:rPr>
          <w:rFonts w:hint="eastAsia" w:ascii="仿宋_GB2312" w:eastAsia="仿宋_GB2312" w:cs="Sim Sun"/>
          <w:kern w:val="0"/>
          <w:sz w:val="28"/>
          <w:szCs w:val="28"/>
        </w:rPr>
        <w:t>的材料，需按不同组件分别取样检测各项目。对含多组件的产品，</w:t>
      </w:r>
      <w:r>
        <w:rPr>
          <w:rFonts w:ascii="仿宋_GB2312" w:eastAsia="仿宋_GB2312" w:cs="Sim Sun"/>
          <w:kern w:val="0"/>
          <w:sz w:val="28"/>
          <w:szCs w:val="28"/>
        </w:rPr>
        <w:t>重量不超过整件制品的1%的小型组件不考核</w:t>
      </w:r>
      <w:r>
        <w:rPr>
          <w:rFonts w:hint="eastAsia" w:ascii="仿宋_GB2312" w:eastAsia="仿宋_GB2312" w:cs="Sim Sun"/>
          <w:kern w:val="0"/>
          <w:sz w:val="28"/>
          <w:szCs w:val="28"/>
        </w:rPr>
        <w:t>(婴幼儿用品除外)。</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样品有局部印花，若取样数量不能满足所有试验要求，应先取重金属和邻苯二甲酸酯试样，然后依次取</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、甲醛、色牢度、pH值试样。</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样品有配料(拼料、辅料)的，若取样数量不能满足所有试验要求，应先取</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试样，然后依次取甲醛、色牢度、pH值试样。</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ascii="仿宋_GB2312" w:eastAsia="仿宋_GB2312" w:cs="Sim Sun"/>
          <w:kern w:val="0"/>
          <w:sz w:val="28"/>
          <w:szCs w:val="28"/>
        </w:rPr>
        <w:t xml:space="preserve"> pH值</w:t>
      </w:r>
      <w:r>
        <w:rPr>
          <w:rFonts w:hint="eastAsia" w:ascii="仿宋_GB2312" w:eastAsia="仿宋_GB2312" w:cs="Sim Sun"/>
          <w:kern w:val="0"/>
          <w:sz w:val="28"/>
          <w:szCs w:val="28"/>
        </w:rPr>
        <w:t>的测定用</w:t>
      </w:r>
      <w:r>
        <w:rPr>
          <w:rFonts w:ascii="仿宋_GB2312" w:eastAsia="仿宋_GB2312" w:cs="Sim Sun"/>
          <w:kern w:val="0"/>
          <w:sz w:val="28"/>
          <w:szCs w:val="28"/>
        </w:rPr>
        <w:t>0.1</w:t>
      </w:r>
      <w:r>
        <w:rPr>
          <w:rFonts w:hint="eastAsia" w:ascii="仿宋_GB2312" w:eastAsia="仿宋_GB2312" w:cs="Sim Sun"/>
          <w:kern w:val="0"/>
          <w:sz w:val="28"/>
          <w:szCs w:val="28"/>
        </w:rPr>
        <w:t xml:space="preserve"> </w:t>
      </w:r>
      <w:r>
        <w:rPr>
          <w:rFonts w:ascii="仿宋_GB2312" w:eastAsia="仿宋_GB2312" w:cs="Sim Sun"/>
          <w:kern w:val="0"/>
          <w:sz w:val="28"/>
          <w:szCs w:val="28"/>
        </w:rPr>
        <w:t>mol/L</w:t>
      </w:r>
      <w:r>
        <w:rPr>
          <w:rFonts w:hint="eastAsia" w:ascii="仿宋_GB2312" w:eastAsia="仿宋_GB2312" w:cs="Sim Sun"/>
          <w:kern w:val="0"/>
          <w:sz w:val="28"/>
          <w:szCs w:val="28"/>
        </w:rPr>
        <w:t>氯化钾溶液作为萃取介质，产品标准另有规定的按相应要求执行。</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ascii="仿宋_GB2312" w:eastAsia="仿宋_GB2312" w:cs="Sim Sun"/>
          <w:kern w:val="0"/>
          <w:sz w:val="28"/>
          <w:szCs w:val="28"/>
        </w:rPr>
        <w:t>可分解致癌芳香胺染料检测</w:t>
      </w:r>
      <w:r>
        <w:rPr>
          <w:rFonts w:hint="eastAsia" w:ascii="仿宋_GB2312" w:eastAsia="仿宋_GB2312" w:cs="Sim Sun"/>
          <w:kern w:val="0"/>
          <w:sz w:val="28"/>
          <w:szCs w:val="28"/>
        </w:rPr>
        <w:t>采用GC/MS内标法。出现阳性结果时按GB/T 17592进行确认，建议用HPLC/DAD进行确认。含涂层、粘合剂或氨纶的产品一般不作预处理，即涂层、粘合剂不刮除，氨纶不拆出。对未经过染色或印花工艺的产品可不检测</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6.2.4</w:t>
      </w:r>
      <w:r>
        <w:rPr>
          <w:rFonts w:hint="eastAsia" w:ascii="仿宋_GB2312" w:eastAsia="仿宋_GB2312" w:cs="Sim Sun"/>
          <w:kern w:val="0"/>
          <w:sz w:val="28"/>
          <w:szCs w:val="28"/>
        </w:rPr>
        <w:t xml:space="preserve"> 色牢度试验采用单纤维贴衬。</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6.2.5 </w:t>
      </w:r>
      <w:r>
        <w:rPr>
          <w:rFonts w:hint="eastAsia" w:ascii="仿宋_GB2312" w:eastAsia="仿宋_GB2312" w:cs="Sim Sun"/>
          <w:kern w:val="0"/>
          <w:sz w:val="28"/>
          <w:szCs w:val="28"/>
        </w:rPr>
        <w:t>考虑到样品存在的不均匀性和检验的可靠性，样品中检测出微量其他纤维（未明示）时，如果其他纤维（未明示）的含量≤1%，或样品明示含微量其他纤维而未检出时，该微量其他纤维不计入总量进行判定。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6.2.6</w:t>
      </w:r>
      <w:r>
        <w:rPr>
          <w:rFonts w:hint="eastAsia" w:ascii="仿宋_GB2312" w:eastAsia="仿宋_GB2312" w:cs="Sim Sun"/>
          <w:kern w:val="0"/>
          <w:sz w:val="28"/>
          <w:szCs w:val="28"/>
        </w:rPr>
        <w:t>纤维含量仅考核产品明示标注有纤维含量信息的产品，若使用说明中存在多种形式的纤维含量信息标注不一致时，则需按照各种形式标注的信息进行综合判定。</w:t>
      </w:r>
    </w:p>
    <w:p>
      <w:pPr>
        <w:snapToGrid w:val="0"/>
        <w:spacing w:line="360" w:lineRule="auto"/>
        <w:rPr>
          <w:rFonts w:ascii="仿宋_GB2312" w:eastAsia="仿宋_GB2312" w:cs="Sim Sun"/>
          <w:kern w:val="0"/>
          <w:sz w:val="28"/>
          <w:szCs w:val="28"/>
        </w:rPr>
      </w:pPr>
      <w:r>
        <w:rPr>
          <w:rFonts w:hint="eastAsia" w:ascii="仿宋_GB2312" w:eastAsia="仿宋_GB2312" w:cs="Sim Sun"/>
          <w:b/>
          <w:bCs/>
          <w:kern w:val="0"/>
          <w:sz w:val="28"/>
          <w:szCs w:val="28"/>
        </w:rPr>
        <w:t>6.2.7</w:t>
      </w:r>
      <w:r>
        <w:rPr>
          <w:rFonts w:hint="eastAsia" w:ascii="仿宋_GB2312" w:eastAsia="仿宋_GB2312" w:cs="Sim Sun"/>
          <w:kern w:val="0"/>
          <w:sz w:val="28"/>
          <w:szCs w:val="28"/>
        </w:rPr>
        <w:t>产品标明安全类别的，按明示分类进行归类考核；产品未标明安全类别或明示分类明显不符合</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）标准分类方法时，按</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）标准规定的产品分类方法进行归类考核。</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6.2.8</w:t>
      </w:r>
      <w:r>
        <w:rPr>
          <w:rFonts w:hint="eastAsia" w:ascii="仿宋_GB2312" w:eastAsia="仿宋_GB2312" w:cs="Sim Sun"/>
          <w:color w:val="000000" w:themeColor="text1"/>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napToGrid w:val="0"/>
        <w:spacing w:line="360" w:lineRule="auto"/>
        <w:rPr>
          <w:rFonts w:ascii="仿宋_GB2312" w:eastAsia="仿宋_GB2312"/>
          <w:color w:val="000000" w:themeColor="text1"/>
          <w:sz w:val="28"/>
          <w:szCs w:val="28"/>
        </w:rPr>
      </w:pPr>
      <w:r>
        <w:rPr>
          <w:rFonts w:hint="eastAsia" w:ascii="仿宋_GB2312" w:eastAsia="仿宋_GB2312"/>
          <w:b/>
          <w:color w:val="000000" w:themeColor="text1"/>
          <w:sz w:val="28"/>
          <w:szCs w:val="28"/>
        </w:rPr>
        <w:t>6.2.9</w:t>
      </w:r>
      <w:r>
        <w:rPr>
          <w:rFonts w:hint="eastAsia" w:ascii="仿宋_GB2312" w:eastAsia="仿宋_GB2312"/>
          <w:color w:val="000000" w:themeColor="text1"/>
          <w:sz w:val="28"/>
          <w:szCs w:val="28"/>
        </w:rPr>
        <w:t>若被检产品明示的质量要求高于或包含本规范中检验项目依据的标准要求时，应按被检产品明示的质量要求判定。</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若被检产品明示的质量要求低于或缺少本规范中检验项目依据的强制性标准要求时，应按照强制性标准要求判定。</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若被检产品明示的质量要求低于或包含本规范中检验项目依据的推荐性标准要求时，应以被检产品明示的质量要求判定。</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若被检产品明示的质量要求缺少本规范中检验项目依据的强制性标准要求时，应按照强制性标准要求判定。</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7 判定原则</w:t>
      </w:r>
    </w:p>
    <w:p>
      <w:pPr>
        <w:snapToGrid w:val="0"/>
        <w:spacing w:line="360" w:lineRule="auto"/>
        <w:ind w:firstLine="560" w:firstLineChars="200"/>
        <w:rPr>
          <w:rFonts w:ascii="仿宋_GB2312" w:eastAsia="仿宋_GB2312" w:cs="Sim Sun"/>
          <w:color w:val="000000"/>
          <w:kern w:val="0"/>
          <w:sz w:val="28"/>
          <w:szCs w:val="28"/>
        </w:rPr>
      </w:pPr>
      <w:r>
        <w:rPr>
          <w:rFonts w:hint="eastAsia" w:ascii="仿宋_GB2312" w:eastAsia="仿宋_GB2312" w:cs="Sim Sun"/>
          <w:color w:val="000000"/>
          <w:kern w:val="0"/>
          <w:sz w:val="28"/>
          <w:szCs w:val="28"/>
        </w:rPr>
        <w:t>经检验，所检样品全部项目合格，判该产品本次监督抽查结果合格；反之，判该产品本次监督抽查结果不合格。当产品没有标注执行推荐性标准，推荐性项目仅报实测值，不参加判定。</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8 异议处理复检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需对不合格项目复验时，按6.1选择复验样品。当复验结果仍不合格，维持原检验结果不变。当复验结果合格，以复验结果为准。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ind w:firstLine="560" w:firstLineChars="200"/>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pPr>
        <w:snapToGrid w:val="0"/>
        <w:spacing w:line="360" w:lineRule="auto"/>
        <w:ind w:firstLine="560" w:firstLineChars="200"/>
        <w:rPr>
          <w:rFonts w:ascii="仿宋_GB2312" w:hAnsi="宋体" w:eastAsia="仿宋_GB2312"/>
          <w:iCs/>
          <w:color w:val="000000"/>
          <w:sz w:val="28"/>
          <w:szCs w:val="28"/>
        </w:rPr>
      </w:pPr>
      <w:r>
        <w:rPr>
          <w:rFonts w:hint="eastAsia" w:ascii="仿宋_GB2312" w:hAnsi="宋体" w:eastAsia="仿宋_GB2312"/>
          <w:iCs/>
          <w:color w:val="000000"/>
          <w:sz w:val="28"/>
          <w:szCs w:val="28"/>
        </w:rPr>
        <w:t>本规范由深圳市市场监督管理局质量处管理。</w:t>
      </w: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pPr>
      <w:bookmarkStart w:id="1" w:name="_GoBack"/>
      <w:bookmarkEnd w:id="1"/>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im Sun">
    <w:altName w:val="仿宋_GB2312"/>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71A0A"/>
    <w:multiLevelType w:val="multilevel"/>
    <w:tmpl w:val="47F71A0A"/>
    <w:lvl w:ilvl="0" w:tentative="0">
      <w:start w:val="1"/>
      <w:numFmt w:val="decimal"/>
      <w:pStyle w:val="39"/>
      <w:lvlText w:val="%1"/>
      <w:lvlJc w:val="left"/>
      <w:pPr>
        <w:ind w:left="425" w:hanging="425"/>
      </w:pPr>
      <w:rPr>
        <w:rFonts w:hint="eastAsia" w:cs="Times New Roman"/>
      </w:rPr>
    </w:lvl>
    <w:lvl w:ilvl="1" w:tentative="0">
      <w:start w:val="1"/>
      <w:numFmt w:val="decimal"/>
      <w:pStyle w:val="40"/>
      <w:lvlText w:val="%1.%2"/>
      <w:lvlJc w:val="left"/>
      <w:pPr>
        <w:ind w:left="677" w:hanging="567"/>
      </w:pPr>
      <w:rPr>
        <w:rFonts w:hint="eastAsia" w:cs="Times New Roman"/>
      </w:rPr>
    </w:lvl>
    <w:lvl w:ilvl="2" w:tentative="0">
      <w:start w:val="1"/>
      <w:numFmt w:val="decimal"/>
      <w:pStyle w:val="41"/>
      <w:lvlText w:val="%1.%2.%3"/>
      <w:lvlJc w:val="left"/>
      <w:pPr>
        <w:ind w:left="709" w:hanging="709"/>
      </w:pPr>
      <w:rPr>
        <w:rFonts w:hint="eastAsia" w:cs="Times New Roman"/>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0047B"/>
    <w:rsid w:val="000106BD"/>
    <w:rsid w:val="00012122"/>
    <w:rsid w:val="00013442"/>
    <w:rsid w:val="00020A4B"/>
    <w:rsid w:val="0002343D"/>
    <w:rsid w:val="000260BA"/>
    <w:rsid w:val="000270F3"/>
    <w:rsid w:val="0003254C"/>
    <w:rsid w:val="000416C3"/>
    <w:rsid w:val="00045FCB"/>
    <w:rsid w:val="000470ED"/>
    <w:rsid w:val="00061006"/>
    <w:rsid w:val="00076E89"/>
    <w:rsid w:val="00083256"/>
    <w:rsid w:val="00083264"/>
    <w:rsid w:val="000A0F8A"/>
    <w:rsid w:val="000A3ABE"/>
    <w:rsid w:val="000A3AE8"/>
    <w:rsid w:val="000A5901"/>
    <w:rsid w:val="000B586F"/>
    <w:rsid w:val="000B60BD"/>
    <w:rsid w:val="000C2396"/>
    <w:rsid w:val="000C4BE1"/>
    <w:rsid w:val="000C5788"/>
    <w:rsid w:val="000D0D07"/>
    <w:rsid w:val="000D530A"/>
    <w:rsid w:val="000F2848"/>
    <w:rsid w:val="000F692A"/>
    <w:rsid w:val="00102698"/>
    <w:rsid w:val="00107ED0"/>
    <w:rsid w:val="001161E1"/>
    <w:rsid w:val="00120CFA"/>
    <w:rsid w:val="00121663"/>
    <w:rsid w:val="00121B5E"/>
    <w:rsid w:val="001224DA"/>
    <w:rsid w:val="001259A6"/>
    <w:rsid w:val="0013173C"/>
    <w:rsid w:val="00133996"/>
    <w:rsid w:val="0013480E"/>
    <w:rsid w:val="00134D9E"/>
    <w:rsid w:val="00134E35"/>
    <w:rsid w:val="001373A6"/>
    <w:rsid w:val="001416FA"/>
    <w:rsid w:val="00142A59"/>
    <w:rsid w:val="00150EA9"/>
    <w:rsid w:val="00151E7E"/>
    <w:rsid w:val="00154279"/>
    <w:rsid w:val="00161A37"/>
    <w:rsid w:val="00162378"/>
    <w:rsid w:val="00164D2A"/>
    <w:rsid w:val="00165C47"/>
    <w:rsid w:val="00173E8F"/>
    <w:rsid w:val="00183E91"/>
    <w:rsid w:val="001860CC"/>
    <w:rsid w:val="00186A1D"/>
    <w:rsid w:val="00192EB6"/>
    <w:rsid w:val="00193E0C"/>
    <w:rsid w:val="001A0002"/>
    <w:rsid w:val="001A12FC"/>
    <w:rsid w:val="001A6386"/>
    <w:rsid w:val="001C45F1"/>
    <w:rsid w:val="001D1020"/>
    <w:rsid w:val="001D1CAA"/>
    <w:rsid w:val="001D28BF"/>
    <w:rsid w:val="001D5E30"/>
    <w:rsid w:val="001D667C"/>
    <w:rsid w:val="001F3EDA"/>
    <w:rsid w:val="001F4554"/>
    <w:rsid w:val="0021241D"/>
    <w:rsid w:val="002267ED"/>
    <w:rsid w:val="0023091E"/>
    <w:rsid w:val="00241283"/>
    <w:rsid w:val="00241830"/>
    <w:rsid w:val="002473C5"/>
    <w:rsid w:val="00251197"/>
    <w:rsid w:val="00252012"/>
    <w:rsid w:val="00271094"/>
    <w:rsid w:val="00286F09"/>
    <w:rsid w:val="00292A01"/>
    <w:rsid w:val="00294F11"/>
    <w:rsid w:val="002A1627"/>
    <w:rsid w:val="002A5A89"/>
    <w:rsid w:val="002A72B4"/>
    <w:rsid w:val="002B2747"/>
    <w:rsid w:val="002B44D2"/>
    <w:rsid w:val="002B6E60"/>
    <w:rsid w:val="002C210B"/>
    <w:rsid w:val="002D44F4"/>
    <w:rsid w:val="002E0EE3"/>
    <w:rsid w:val="002F6648"/>
    <w:rsid w:val="00300903"/>
    <w:rsid w:val="00306B80"/>
    <w:rsid w:val="00307106"/>
    <w:rsid w:val="00307F51"/>
    <w:rsid w:val="00313C47"/>
    <w:rsid w:val="003253C7"/>
    <w:rsid w:val="003267F8"/>
    <w:rsid w:val="00332C9B"/>
    <w:rsid w:val="0034375B"/>
    <w:rsid w:val="0034451E"/>
    <w:rsid w:val="0034786E"/>
    <w:rsid w:val="003578FE"/>
    <w:rsid w:val="00357D4E"/>
    <w:rsid w:val="00386F5D"/>
    <w:rsid w:val="00392667"/>
    <w:rsid w:val="003A60F9"/>
    <w:rsid w:val="003A6A64"/>
    <w:rsid w:val="003B5F8F"/>
    <w:rsid w:val="003D5A42"/>
    <w:rsid w:val="003D7433"/>
    <w:rsid w:val="003E1FE8"/>
    <w:rsid w:val="003E4E0A"/>
    <w:rsid w:val="003E76B9"/>
    <w:rsid w:val="00402201"/>
    <w:rsid w:val="004116CF"/>
    <w:rsid w:val="00411F53"/>
    <w:rsid w:val="00423484"/>
    <w:rsid w:val="0042497F"/>
    <w:rsid w:val="004274C5"/>
    <w:rsid w:val="0043232F"/>
    <w:rsid w:val="0043299F"/>
    <w:rsid w:val="004332C2"/>
    <w:rsid w:val="00434A41"/>
    <w:rsid w:val="00441C46"/>
    <w:rsid w:val="004465AA"/>
    <w:rsid w:val="00455FA3"/>
    <w:rsid w:val="00456776"/>
    <w:rsid w:val="00456B19"/>
    <w:rsid w:val="00462A4D"/>
    <w:rsid w:val="004748AD"/>
    <w:rsid w:val="00475D81"/>
    <w:rsid w:val="004775C0"/>
    <w:rsid w:val="00480881"/>
    <w:rsid w:val="004858F2"/>
    <w:rsid w:val="00490A30"/>
    <w:rsid w:val="00491535"/>
    <w:rsid w:val="00491ECE"/>
    <w:rsid w:val="00495C4E"/>
    <w:rsid w:val="004A41CD"/>
    <w:rsid w:val="004A4220"/>
    <w:rsid w:val="004B314F"/>
    <w:rsid w:val="004B75D8"/>
    <w:rsid w:val="004C2231"/>
    <w:rsid w:val="004C2C36"/>
    <w:rsid w:val="004D2D47"/>
    <w:rsid w:val="004D4532"/>
    <w:rsid w:val="004D649C"/>
    <w:rsid w:val="004D7E71"/>
    <w:rsid w:val="004E00F7"/>
    <w:rsid w:val="004E5E47"/>
    <w:rsid w:val="00501042"/>
    <w:rsid w:val="00507A5C"/>
    <w:rsid w:val="005142E6"/>
    <w:rsid w:val="005208AA"/>
    <w:rsid w:val="005230C7"/>
    <w:rsid w:val="00533E80"/>
    <w:rsid w:val="005376F2"/>
    <w:rsid w:val="00547418"/>
    <w:rsid w:val="0055035F"/>
    <w:rsid w:val="005748E9"/>
    <w:rsid w:val="005753E8"/>
    <w:rsid w:val="00582B70"/>
    <w:rsid w:val="005877EB"/>
    <w:rsid w:val="00597DB6"/>
    <w:rsid w:val="005A2276"/>
    <w:rsid w:val="005A425F"/>
    <w:rsid w:val="005A7772"/>
    <w:rsid w:val="005B3A4F"/>
    <w:rsid w:val="005C3F7A"/>
    <w:rsid w:val="005C6D3D"/>
    <w:rsid w:val="005D3E52"/>
    <w:rsid w:val="005D5BE5"/>
    <w:rsid w:val="005E3312"/>
    <w:rsid w:val="005E6E43"/>
    <w:rsid w:val="005F2156"/>
    <w:rsid w:val="005F5212"/>
    <w:rsid w:val="006011D5"/>
    <w:rsid w:val="006045D8"/>
    <w:rsid w:val="00607FA0"/>
    <w:rsid w:val="00614969"/>
    <w:rsid w:val="0061542E"/>
    <w:rsid w:val="00625049"/>
    <w:rsid w:val="00625772"/>
    <w:rsid w:val="0062629C"/>
    <w:rsid w:val="006273E9"/>
    <w:rsid w:val="00632AAB"/>
    <w:rsid w:val="006331E0"/>
    <w:rsid w:val="0063352E"/>
    <w:rsid w:val="00633DC8"/>
    <w:rsid w:val="006444F1"/>
    <w:rsid w:val="00645786"/>
    <w:rsid w:val="00646A5D"/>
    <w:rsid w:val="00655194"/>
    <w:rsid w:val="00680411"/>
    <w:rsid w:val="00683238"/>
    <w:rsid w:val="00684392"/>
    <w:rsid w:val="00685B6E"/>
    <w:rsid w:val="00685EF0"/>
    <w:rsid w:val="006873F0"/>
    <w:rsid w:val="00695693"/>
    <w:rsid w:val="006A2CA8"/>
    <w:rsid w:val="006A417C"/>
    <w:rsid w:val="006D2EAA"/>
    <w:rsid w:val="006D456E"/>
    <w:rsid w:val="006D701F"/>
    <w:rsid w:val="006E4ED0"/>
    <w:rsid w:val="006F7207"/>
    <w:rsid w:val="0070142B"/>
    <w:rsid w:val="00703872"/>
    <w:rsid w:val="00703B9A"/>
    <w:rsid w:val="007066EF"/>
    <w:rsid w:val="00723938"/>
    <w:rsid w:val="007307A7"/>
    <w:rsid w:val="00730A00"/>
    <w:rsid w:val="007320FD"/>
    <w:rsid w:val="007403F3"/>
    <w:rsid w:val="00743E75"/>
    <w:rsid w:val="00747E10"/>
    <w:rsid w:val="00755A70"/>
    <w:rsid w:val="00757BD7"/>
    <w:rsid w:val="00766A01"/>
    <w:rsid w:val="0077460C"/>
    <w:rsid w:val="00784B27"/>
    <w:rsid w:val="00787C3D"/>
    <w:rsid w:val="00790803"/>
    <w:rsid w:val="00792EFF"/>
    <w:rsid w:val="0079409D"/>
    <w:rsid w:val="007940B3"/>
    <w:rsid w:val="007A51A7"/>
    <w:rsid w:val="007B4978"/>
    <w:rsid w:val="007C3A6A"/>
    <w:rsid w:val="007D39C5"/>
    <w:rsid w:val="007D4F72"/>
    <w:rsid w:val="007D563C"/>
    <w:rsid w:val="007D64F9"/>
    <w:rsid w:val="007D7289"/>
    <w:rsid w:val="007E0FD1"/>
    <w:rsid w:val="007E252B"/>
    <w:rsid w:val="007E4741"/>
    <w:rsid w:val="007F05DF"/>
    <w:rsid w:val="007F2236"/>
    <w:rsid w:val="007F4D6C"/>
    <w:rsid w:val="007F694E"/>
    <w:rsid w:val="00804719"/>
    <w:rsid w:val="0081494B"/>
    <w:rsid w:val="0081696A"/>
    <w:rsid w:val="00823AF5"/>
    <w:rsid w:val="00825132"/>
    <w:rsid w:val="00831925"/>
    <w:rsid w:val="00846F4E"/>
    <w:rsid w:val="00851144"/>
    <w:rsid w:val="00855951"/>
    <w:rsid w:val="0085748C"/>
    <w:rsid w:val="008600EA"/>
    <w:rsid w:val="00864530"/>
    <w:rsid w:val="00865110"/>
    <w:rsid w:val="0086589E"/>
    <w:rsid w:val="008725A6"/>
    <w:rsid w:val="00874B2A"/>
    <w:rsid w:val="00876DDC"/>
    <w:rsid w:val="00877655"/>
    <w:rsid w:val="00884358"/>
    <w:rsid w:val="00890310"/>
    <w:rsid w:val="008948ED"/>
    <w:rsid w:val="00896D33"/>
    <w:rsid w:val="008A590F"/>
    <w:rsid w:val="008A6951"/>
    <w:rsid w:val="008C2C04"/>
    <w:rsid w:val="008C471C"/>
    <w:rsid w:val="008D3507"/>
    <w:rsid w:val="008D3A7B"/>
    <w:rsid w:val="008E6AE8"/>
    <w:rsid w:val="008F488B"/>
    <w:rsid w:val="008F7FBD"/>
    <w:rsid w:val="00900ECE"/>
    <w:rsid w:val="00903974"/>
    <w:rsid w:val="00907075"/>
    <w:rsid w:val="00914B9C"/>
    <w:rsid w:val="0092217F"/>
    <w:rsid w:val="0093004D"/>
    <w:rsid w:val="00932E25"/>
    <w:rsid w:val="009337BB"/>
    <w:rsid w:val="00934295"/>
    <w:rsid w:val="009447BE"/>
    <w:rsid w:val="00947304"/>
    <w:rsid w:val="009664F0"/>
    <w:rsid w:val="00971ACD"/>
    <w:rsid w:val="009800EC"/>
    <w:rsid w:val="00985168"/>
    <w:rsid w:val="00992BAF"/>
    <w:rsid w:val="009973AF"/>
    <w:rsid w:val="009A3194"/>
    <w:rsid w:val="009C0D84"/>
    <w:rsid w:val="009C665C"/>
    <w:rsid w:val="009D0CB5"/>
    <w:rsid w:val="009D3C8C"/>
    <w:rsid w:val="009E1028"/>
    <w:rsid w:val="009E7868"/>
    <w:rsid w:val="00A01F44"/>
    <w:rsid w:val="00A028AC"/>
    <w:rsid w:val="00A046F8"/>
    <w:rsid w:val="00A073FF"/>
    <w:rsid w:val="00A27882"/>
    <w:rsid w:val="00A27DC2"/>
    <w:rsid w:val="00A347F9"/>
    <w:rsid w:val="00A42059"/>
    <w:rsid w:val="00A42A5F"/>
    <w:rsid w:val="00A452E9"/>
    <w:rsid w:val="00A6640F"/>
    <w:rsid w:val="00A671BD"/>
    <w:rsid w:val="00A82846"/>
    <w:rsid w:val="00A82B22"/>
    <w:rsid w:val="00A831DC"/>
    <w:rsid w:val="00A83288"/>
    <w:rsid w:val="00A83C4D"/>
    <w:rsid w:val="00A90F35"/>
    <w:rsid w:val="00A925BC"/>
    <w:rsid w:val="00AA7007"/>
    <w:rsid w:val="00AB3455"/>
    <w:rsid w:val="00AB5EA8"/>
    <w:rsid w:val="00AC672C"/>
    <w:rsid w:val="00AC7B06"/>
    <w:rsid w:val="00AE2647"/>
    <w:rsid w:val="00AE567F"/>
    <w:rsid w:val="00B03C7F"/>
    <w:rsid w:val="00B07E16"/>
    <w:rsid w:val="00B24C4B"/>
    <w:rsid w:val="00B25008"/>
    <w:rsid w:val="00B3018F"/>
    <w:rsid w:val="00B31764"/>
    <w:rsid w:val="00B42592"/>
    <w:rsid w:val="00B4490F"/>
    <w:rsid w:val="00B46780"/>
    <w:rsid w:val="00B50E5F"/>
    <w:rsid w:val="00B5111A"/>
    <w:rsid w:val="00B5299D"/>
    <w:rsid w:val="00B53DFD"/>
    <w:rsid w:val="00B569DC"/>
    <w:rsid w:val="00B609D2"/>
    <w:rsid w:val="00B70E3A"/>
    <w:rsid w:val="00B722BF"/>
    <w:rsid w:val="00B7358E"/>
    <w:rsid w:val="00B935D9"/>
    <w:rsid w:val="00B9572F"/>
    <w:rsid w:val="00B96FBE"/>
    <w:rsid w:val="00BA48BB"/>
    <w:rsid w:val="00BB1001"/>
    <w:rsid w:val="00BB1D58"/>
    <w:rsid w:val="00BB291D"/>
    <w:rsid w:val="00BB29EF"/>
    <w:rsid w:val="00BB4C46"/>
    <w:rsid w:val="00BC124A"/>
    <w:rsid w:val="00BC373E"/>
    <w:rsid w:val="00BC69EF"/>
    <w:rsid w:val="00BD4640"/>
    <w:rsid w:val="00BD66D9"/>
    <w:rsid w:val="00BD681A"/>
    <w:rsid w:val="00C06C86"/>
    <w:rsid w:val="00C109ED"/>
    <w:rsid w:val="00C11F41"/>
    <w:rsid w:val="00C12C57"/>
    <w:rsid w:val="00C136FC"/>
    <w:rsid w:val="00C31B00"/>
    <w:rsid w:val="00C33661"/>
    <w:rsid w:val="00C37215"/>
    <w:rsid w:val="00C4168A"/>
    <w:rsid w:val="00C44636"/>
    <w:rsid w:val="00C47895"/>
    <w:rsid w:val="00C52878"/>
    <w:rsid w:val="00C5677D"/>
    <w:rsid w:val="00C613C4"/>
    <w:rsid w:val="00C7557F"/>
    <w:rsid w:val="00C81259"/>
    <w:rsid w:val="00CA0F57"/>
    <w:rsid w:val="00CA1354"/>
    <w:rsid w:val="00CA5EF2"/>
    <w:rsid w:val="00CB1148"/>
    <w:rsid w:val="00CB2D77"/>
    <w:rsid w:val="00CB4465"/>
    <w:rsid w:val="00CB5F7C"/>
    <w:rsid w:val="00CB61DC"/>
    <w:rsid w:val="00CB6523"/>
    <w:rsid w:val="00CC223C"/>
    <w:rsid w:val="00CC4875"/>
    <w:rsid w:val="00CD178C"/>
    <w:rsid w:val="00CD32E6"/>
    <w:rsid w:val="00CE7CFF"/>
    <w:rsid w:val="00D0068A"/>
    <w:rsid w:val="00D01586"/>
    <w:rsid w:val="00D02503"/>
    <w:rsid w:val="00D15C41"/>
    <w:rsid w:val="00D24493"/>
    <w:rsid w:val="00D260CD"/>
    <w:rsid w:val="00D30B9D"/>
    <w:rsid w:val="00D34E1A"/>
    <w:rsid w:val="00D4562C"/>
    <w:rsid w:val="00D77FDF"/>
    <w:rsid w:val="00D8130A"/>
    <w:rsid w:val="00D82BC2"/>
    <w:rsid w:val="00D85A20"/>
    <w:rsid w:val="00D90C77"/>
    <w:rsid w:val="00D91CC3"/>
    <w:rsid w:val="00D93C5A"/>
    <w:rsid w:val="00D949D8"/>
    <w:rsid w:val="00DB41E5"/>
    <w:rsid w:val="00DB5A4A"/>
    <w:rsid w:val="00DC6338"/>
    <w:rsid w:val="00DC6F0D"/>
    <w:rsid w:val="00DD0A22"/>
    <w:rsid w:val="00DD0DAB"/>
    <w:rsid w:val="00DD50AA"/>
    <w:rsid w:val="00DF5D89"/>
    <w:rsid w:val="00DF5DF3"/>
    <w:rsid w:val="00E14679"/>
    <w:rsid w:val="00E15DAF"/>
    <w:rsid w:val="00E16E18"/>
    <w:rsid w:val="00E25119"/>
    <w:rsid w:val="00E31C91"/>
    <w:rsid w:val="00E31DA4"/>
    <w:rsid w:val="00E4292A"/>
    <w:rsid w:val="00E52B8E"/>
    <w:rsid w:val="00E773B3"/>
    <w:rsid w:val="00E80F80"/>
    <w:rsid w:val="00E8315C"/>
    <w:rsid w:val="00E90ABE"/>
    <w:rsid w:val="00E921DB"/>
    <w:rsid w:val="00EB2898"/>
    <w:rsid w:val="00EB3745"/>
    <w:rsid w:val="00EC6423"/>
    <w:rsid w:val="00EC6670"/>
    <w:rsid w:val="00ED10BB"/>
    <w:rsid w:val="00EE60A6"/>
    <w:rsid w:val="00EE62CB"/>
    <w:rsid w:val="00EF07E7"/>
    <w:rsid w:val="00F01F8F"/>
    <w:rsid w:val="00F02585"/>
    <w:rsid w:val="00F03917"/>
    <w:rsid w:val="00F059EE"/>
    <w:rsid w:val="00F13418"/>
    <w:rsid w:val="00F21909"/>
    <w:rsid w:val="00F339C2"/>
    <w:rsid w:val="00F41828"/>
    <w:rsid w:val="00F47DE0"/>
    <w:rsid w:val="00F515CB"/>
    <w:rsid w:val="00F521B4"/>
    <w:rsid w:val="00F544C4"/>
    <w:rsid w:val="00F61A0C"/>
    <w:rsid w:val="00F766E8"/>
    <w:rsid w:val="00F77A04"/>
    <w:rsid w:val="00F77F98"/>
    <w:rsid w:val="00F81C7F"/>
    <w:rsid w:val="00F872BB"/>
    <w:rsid w:val="00F87A36"/>
    <w:rsid w:val="00FA582A"/>
    <w:rsid w:val="00FA6330"/>
    <w:rsid w:val="00FB1335"/>
    <w:rsid w:val="00FB5873"/>
    <w:rsid w:val="00FC2F10"/>
    <w:rsid w:val="00FC5731"/>
    <w:rsid w:val="00FD188A"/>
    <w:rsid w:val="00FE10C0"/>
    <w:rsid w:val="00FE4101"/>
    <w:rsid w:val="1FF5177A"/>
    <w:rsid w:val="27216FAA"/>
    <w:rsid w:val="2EF01BE8"/>
    <w:rsid w:val="6D577931"/>
    <w:rsid w:val="6E500795"/>
    <w:rsid w:val="7A494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spacing w:line="240" w:lineRule="exact"/>
      <w:outlineLvl w:val="0"/>
    </w:pPr>
    <w:rPr>
      <w:rFonts w:ascii="宋体" w:hAnsi="宋体"/>
      <w:sz w:val="28"/>
      <w:szCs w:val="20"/>
    </w:rPr>
  </w:style>
  <w:style w:type="character" w:default="1" w:styleId="15">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47"/>
    <w:semiHidden/>
    <w:qFormat/>
    <w:uiPriority w:val="0"/>
    <w:pPr>
      <w:shd w:val="clear" w:color="auto" w:fill="000080"/>
    </w:pPr>
    <w:rPr>
      <w:rFonts w:ascii="Times New Roman" w:hAnsi="Times New Roman" w:eastAsia="宋体" w:cs="Times New Roman"/>
      <w:szCs w:val="24"/>
    </w:rPr>
  </w:style>
  <w:style w:type="paragraph" w:styleId="4">
    <w:name w:val="annotation text"/>
    <w:basedOn w:val="1"/>
    <w:link w:val="32"/>
    <w:qFormat/>
    <w:uiPriority w:val="0"/>
    <w:pPr>
      <w:jc w:val="left"/>
    </w:pPr>
    <w:rPr>
      <w:rFonts w:ascii="Times New Roman" w:hAnsi="Times New Roman" w:eastAsia="宋体" w:cs="Times New Roman"/>
      <w:szCs w:val="24"/>
    </w:rPr>
  </w:style>
  <w:style w:type="paragraph" w:styleId="5">
    <w:name w:val="Body Text"/>
    <w:basedOn w:val="1"/>
    <w:link w:val="46"/>
    <w:qFormat/>
    <w:uiPriority w:val="0"/>
    <w:pPr>
      <w:snapToGrid w:val="0"/>
      <w:spacing w:line="360" w:lineRule="auto"/>
    </w:pPr>
    <w:rPr>
      <w:rFonts w:ascii="仿宋_GB2312" w:hAnsi="Times New Roman" w:eastAsia="仿宋_GB2312" w:cs="Times New Roman"/>
      <w:b/>
      <w:sz w:val="28"/>
      <w:szCs w:val="21"/>
    </w:rPr>
  </w:style>
  <w:style w:type="paragraph" w:styleId="6">
    <w:name w:val="Body Text Indent"/>
    <w:basedOn w:val="1"/>
    <w:link w:val="26"/>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7">
    <w:name w:val="Plain Text"/>
    <w:basedOn w:val="1"/>
    <w:link w:val="29"/>
    <w:qFormat/>
    <w:uiPriority w:val="0"/>
    <w:rPr>
      <w:rFonts w:ascii="宋体" w:hAnsi="Courier New" w:eastAsia="宋体" w:cs="Times New Roman"/>
      <w:szCs w:val="21"/>
    </w:rPr>
  </w:style>
  <w:style w:type="paragraph" w:styleId="8">
    <w:name w:val="Date"/>
    <w:basedOn w:val="1"/>
    <w:next w:val="1"/>
    <w:link w:val="44"/>
    <w:qFormat/>
    <w:uiPriority w:val="0"/>
    <w:pPr>
      <w:ind w:left="100" w:leftChars="2500"/>
    </w:pPr>
    <w:rPr>
      <w:rFonts w:ascii="Times New Roman" w:hAnsi="Times New Roman" w:eastAsia="宋体" w:cs="Times New Roman"/>
      <w:szCs w:val="24"/>
    </w:rPr>
  </w:style>
  <w:style w:type="paragraph" w:styleId="9">
    <w:name w:val="Body Text Indent 2"/>
    <w:basedOn w:val="1"/>
    <w:link w:val="30"/>
    <w:qFormat/>
    <w:uiPriority w:val="0"/>
    <w:pPr>
      <w:spacing w:after="120" w:line="480" w:lineRule="auto"/>
      <w:ind w:left="420" w:leftChars="200"/>
    </w:pPr>
    <w:rPr>
      <w:rFonts w:ascii="Times New Roman" w:hAnsi="Times New Roman" w:eastAsia="宋体" w:cs="Times New Roman"/>
      <w:szCs w:val="24"/>
    </w:rPr>
  </w:style>
  <w:style w:type="paragraph" w:styleId="10">
    <w:name w:val="Balloon Text"/>
    <w:basedOn w:val="1"/>
    <w:link w:val="27"/>
    <w:semiHidden/>
    <w:qFormat/>
    <w:uiPriority w:val="0"/>
    <w:rPr>
      <w:rFonts w:ascii="Times New Roman" w:hAnsi="Times New Roman" w:eastAsia="宋体" w:cs="Times New Roman"/>
      <w:sz w:val="18"/>
      <w:szCs w:val="18"/>
    </w:rPr>
  </w:style>
  <w:style w:type="paragraph" w:styleId="11">
    <w:name w:val="footer"/>
    <w:basedOn w:val="1"/>
    <w:link w:val="2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24"/>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3">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Hyperlink"/>
    <w:qFormat/>
    <w:uiPriority w:val="0"/>
    <w:rPr>
      <w:color w:val="0000FF"/>
      <w:u w:val="single"/>
    </w:rPr>
  </w:style>
  <w:style w:type="character" w:styleId="20">
    <w:name w:val="annotation reference"/>
    <w:basedOn w:val="15"/>
    <w:qFormat/>
    <w:uiPriority w:val="0"/>
    <w:rPr>
      <w:sz w:val="21"/>
      <w:szCs w:val="21"/>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脚 Char"/>
    <w:basedOn w:val="15"/>
    <w:link w:val="11"/>
    <w:qFormat/>
    <w:uiPriority w:val="0"/>
    <w:rPr>
      <w:rFonts w:ascii="Times New Roman" w:hAnsi="Times New Roman" w:eastAsia="宋体" w:cs="Times New Roman"/>
      <w:sz w:val="18"/>
      <w:szCs w:val="18"/>
    </w:rPr>
  </w:style>
  <w:style w:type="character" w:customStyle="1" w:styleId="24">
    <w:name w:val="页眉 Char"/>
    <w:basedOn w:val="15"/>
    <w:link w:val="12"/>
    <w:qFormat/>
    <w:uiPriority w:val="99"/>
    <w:rPr>
      <w:rFonts w:cs="Times New Roman" w:asciiTheme="majorEastAsia" w:hAnsiTheme="majorEastAsia" w:eastAsiaTheme="majorEastAsia"/>
      <w:b/>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6">
    <w:name w:val="正文文本缩进 Char"/>
    <w:basedOn w:val="15"/>
    <w:link w:val="6"/>
    <w:qFormat/>
    <w:uiPriority w:val="0"/>
    <w:rPr>
      <w:rFonts w:ascii="Times New Roman" w:hAnsi="Times New Roman" w:eastAsia="宋体" w:cs="Times New Roman"/>
      <w:kern w:val="0"/>
      <w:sz w:val="24"/>
      <w:szCs w:val="20"/>
    </w:rPr>
  </w:style>
  <w:style w:type="character" w:customStyle="1" w:styleId="27">
    <w:name w:val="批注框文本 Char"/>
    <w:basedOn w:val="15"/>
    <w:link w:val="10"/>
    <w:semiHidden/>
    <w:qFormat/>
    <w:uiPriority w:val="0"/>
    <w:rPr>
      <w:rFonts w:ascii="Times New Roman" w:hAnsi="Times New Roman" w:eastAsia="宋体" w:cs="Times New Roman"/>
      <w:sz w:val="18"/>
      <w:szCs w:val="18"/>
    </w:rPr>
  </w:style>
  <w:style w:type="paragraph" w:customStyle="1" w:styleId="28">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9">
    <w:name w:val="纯文本 Char"/>
    <w:basedOn w:val="15"/>
    <w:link w:val="7"/>
    <w:qFormat/>
    <w:uiPriority w:val="0"/>
    <w:rPr>
      <w:rFonts w:ascii="宋体" w:hAnsi="Courier New" w:eastAsia="宋体" w:cs="Times New Roman"/>
      <w:szCs w:val="21"/>
    </w:rPr>
  </w:style>
  <w:style w:type="character" w:customStyle="1" w:styleId="30">
    <w:name w:val="正文文本缩进 2 Char"/>
    <w:basedOn w:val="15"/>
    <w:link w:val="9"/>
    <w:qFormat/>
    <w:uiPriority w:val="0"/>
    <w:rPr>
      <w:rFonts w:ascii="Times New Roman" w:hAnsi="Times New Roman" w:eastAsia="宋体" w:cs="Times New Roman"/>
      <w:szCs w:val="24"/>
    </w:rPr>
  </w:style>
  <w:style w:type="character" w:customStyle="1" w:styleId="31">
    <w:name w:val="正文文本缩进 3 Char"/>
    <w:basedOn w:val="15"/>
    <w:link w:val="13"/>
    <w:qFormat/>
    <w:uiPriority w:val="0"/>
    <w:rPr>
      <w:rFonts w:ascii="Times New Roman" w:hAnsi="Times New Roman" w:eastAsia="宋体" w:cs="Times New Roman"/>
      <w:sz w:val="16"/>
      <w:szCs w:val="16"/>
    </w:rPr>
  </w:style>
  <w:style w:type="character" w:customStyle="1" w:styleId="32">
    <w:name w:val="批注文字 Char"/>
    <w:basedOn w:val="15"/>
    <w:link w:val="4"/>
    <w:qFormat/>
    <w:uiPriority w:val="0"/>
    <w:rPr>
      <w:rFonts w:ascii="Times New Roman" w:hAnsi="Times New Roman" w:eastAsia="宋体" w:cs="Times New Roman"/>
      <w:szCs w:val="24"/>
    </w:rPr>
  </w:style>
  <w:style w:type="paragraph" w:customStyle="1" w:styleId="33">
    <w:name w:val="表格"/>
    <w:basedOn w:val="1"/>
    <w:link w:val="34"/>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4">
    <w:name w:val="表格 Char"/>
    <w:link w:val="33"/>
    <w:qFormat/>
    <w:uiPriority w:val="0"/>
    <w:rPr>
      <w:rFonts w:ascii="仿宋_GB2312" w:hAnsi="Times New Roman" w:eastAsia="宋体" w:cs="Times New Roman"/>
      <w:color w:val="000000"/>
      <w:kern w:val="0"/>
      <w:szCs w:val="24"/>
    </w:rPr>
  </w:style>
  <w:style w:type="paragraph" w:customStyle="1" w:styleId="35">
    <w:name w:val="List Paragraph"/>
    <w:basedOn w:val="1"/>
    <w:qFormat/>
    <w:uiPriority w:val="34"/>
    <w:pPr>
      <w:ind w:firstLine="420" w:firstLineChars="200"/>
    </w:pPr>
    <w:rPr>
      <w:rFonts w:ascii="Times New Roman" w:hAnsi="Times New Roman" w:eastAsia="宋体" w:cs="Times New Roman"/>
      <w:szCs w:val="24"/>
    </w:rPr>
  </w:style>
  <w:style w:type="paragraph" w:customStyle="1" w:styleId="36">
    <w:name w:val="p0"/>
    <w:basedOn w:val="1"/>
    <w:qFormat/>
    <w:uiPriority w:val="0"/>
    <w:pPr>
      <w:widowControl/>
    </w:pPr>
    <w:rPr>
      <w:rFonts w:ascii="Times New Roman" w:hAnsi="Times New Roman" w:eastAsia="宋体" w:cs="Times New Roman"/>
      <w:kern w:val="0"/>
      <w:szCs w:val="21"/>
    </w:rPr>
  </w:style>
  <w:style w:type="paragraph" w:customStyle="1" w:styleId="37">
    <w:name w:val="样式1"/>
    <w:basedOn w:val="1"/>
    <w:link w:val="38"/>
    <w:qFormat/>
    <w:uiPriority w:val="99"/>
    <w:pPr>
      <w:spacing w:line="276" w:lineRule="auto"/>
      <w:ind w:firstLine="200" w:firstLineChars="200"/>
      <w:jc w:val="left"/>
    </w:pPr>
    <w:rPr>
      <w:rFonts w:ascii="Calibri" w:hAnsi="Calibri" w:eastAsia="宋体" w:cs="Times New Roman"/>
      <w:kern w:val="0"/>
      <w:szCs w:val="21"/>
    </w:rPr>
  </w:style>
  <w:style w:type="character" w:customStyle="1" w:styleId="38">
    <w:name w:val="样式1 Char"/>
    <w:basedOn w:val="15"/>
    <w:link w:val="37"/>
    <w:qFormat/>
    <w:locked/>
    <w:uiPriority w:val="99"/>
    <w:rPr>
      <w:rFonts w:ascii="Calibri" w:hAnsi="Calibri" w:eastAsia="宋体" w:cs="Times New Roman"/>
      <w:kern w:val="0"/>
      <w:szCs w:val="21"/>
    </w:rPr>
  </w:style>
  <w:style w:type="paragraph" w:customStyle="1" w:styleId="39">
    <w:name w:val="样式2"/>
    <w:basedOn w:val="35"/>
    <w:qFormat/>
    <w:uiPriority w:val="99"/>
    <w:pPr>
      <w:numPr>
        <w:ilvl w:val="0"/>
        <w:numId w:val="1"/>
      </w:numPr>
      <w:spacing w:beforeLines="50" w:afterLines="50"/>
      <w:ind w:left="565" w:hanging="565" w:hangingChars="268"/>
      <w:jc w:val="left"/>
    </w:pPr>
    <w:rPr>
      <w:rFonts w:ascii="Calibri" w:hAnsi="Calibri"/>
      <w:b/>
      <w:kern w:val="0"/>
      <w:szCs w:val="21"/>
      <w:lang w:eastAsia="en-US"/>
    </w:rPr>
  </w:style>
  <w:style w:type="paragraph" w:customStyle="1" w:styleId="40">
    <w:name w:val="样式3"/>
    <w:basedOn w:val="39"/>
    <w:qFormat/>
    <w:uiPriority w:val="99"/>
    <w:pPr>
      <w:numPr>
        <w:ilvl w:val="1"/>
      </w:numPr>
      <w:ind w:left="567" w:firstLine="0" w:firstLineChars="0"/>
    </w:pPr>
    <w:rPr>
      <w:w w:val="102"/>
      <w:lang w:eastAsia="zh-CN"/>
    </w:rPr>
  </w:style>
  <w:style w:type="paragraph" w:customStyle="1" w:styleId="41">
    <w:name w:val="样式4"/>
    <w:basedOn w:val="40"/>
    <w:link w:val="42"/>
    <w:qFormat/>
    <w:uiPriority w:val="99"/>
    <w:pPr>
      <w:numPr>
        <w:ilvl w:val="2"/>
      </w:numPr>
    </w:pPr>
  </w:style>
  <w:style w:type="character" w:customStyle="1" w:styleId="42">
    <w:name w:val="样式4 Char"/>
    <w:basedOn w:val="15"/>
    <w:link w:val="41"/>
    <w:qFormat/>
    <w:locked/>
    <w:uiPriority w:val="99"/>
    <w:rPr>
      <w:rFonts w:ascii="Calibri" w:hAnsi="Calibri" w:eastAsia="宋体" w:cs="Times New Roman"/>
      <w:b/>
      <w:w w:val="102"/>
      <w:kern w:val="0"/>
      <w:szCs w:val="21"/>
    </w:rPr>
  </w:style>
  <w:style w:type="paragraph" w:customStyle="1" w:styleId="4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44">
    <w:name w:val="日期 Char"/>
    <w:basedOn w:val="15"/>
    <w:link w:val="8"/>
    <w:qFormat/>
    <w:uiPriority w:val="0"/>
    <w:rPr>
      <w:rFonts w:ascii="Times New Roman" w:hAnsi="Times New Roman" w:eastAsia="宋体" w:cs="Times New Roman"/>
      <w:szCs w:val="24"/>
    </w:rPr>
  </w:style>
  <w:style w:type="paragraph" w:customStyle="1" w:styleId="45">
    <w:name w:val="Char"/>
    <w:basedOn w:val="1"/>
    <w:uiPriority w:val="0"/>
    <w:pPr>
      <w:widowControl/>
      <w:spacing w:after="160" w:line="240" w:lineRule="exact"/>
      <w:jc w:val="left"/>
    </w:pPr>
    <w:rPr>
      <w:rFonts w:ascii="Verdana" w:hAnsi="Verdana" w:eastAsia="宋体" w:cs="Times New Roman"/>
      <w:kern w:val="0"/>
      <w:sz w:val="18"/>
      <w:szCs w:val="20"/>
      <w:lang w:eastAsia="en-US"/>
    </w:rPr>
  </w:style>
  <w:style w:type="character" w:customStyle="1" w:styleId="46">
    <w:name w:val="正文文本 Char"/>
    <w:basedOn w:val="15"/>
    <w:link w:val="5"/>
    <w:qFormat/>
    <w:uiPriority w:val="0"/>
    <w:rPr>
      <w:rFonts w:ascii="仿宋_GB2312" w:hAnsi="Times New Roman" w:eastAsia="仿宋_GB2312" w:cs="Times New Roman"/>
      <w:b/>
      <w:sz w:val="28"/>
      <w:szCs w:val="21"/>
    </w:rPr>
  </w:style>
  <w:style w:type="character" w:customStyle="1" w:styleId="47">
    <w:name w:val="文档结构图 Char"/>
    <w:basedOn w:val="15"/>
    <w:link w:val="3"/>
    <w:semiHidden/>
    <w:qFormat/>
    <w:uiPriority w:val="0"/>
    <w:rPr>
      <w:rFonts w:ascii="Times New Roman" w:hAnsi="Times New Roman" w:eastAsia="宋体" w:cs="Times New Roman"/>
      <w:szCs w:val="24"/>
      <w:shd w:val="clear" w:color="auto" w:fill="000080"/>
    </w:rPr>
  </w:style>
  <w:style w:type="character" w:customStyle="1" w:styleId="48">
    <w:name w:val="标题 1 Char"/>
    <w:basedOn w:val="15"/>
    <w:link w:val="2"/>
    <w:qFormat/>
    <w:uiPriority w:val="0"/>
    <w:rPr>
      <w:rFonts w:ascii="宋体"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605B3-7859-4EA1-ACBC-3C7BCE4E67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1894</Words>
  <Characters>10799</Characters>
  <Lines>89</Lines>
  <Paragraphs>25</Paragraphs>
  <TotalTime>0</TotalTime>
  <ScaleCrop>false</ScaleCrop>
  <LinksUpToDate>false</LinksUpToDate>
  <CharactersWithSpaces>12668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2018-05-02T03:14:00Z</dcterms:created>
  <dc:creator>sunjp</dc:creator>
  <cp:lastModifiedBy>常孟园</cp:lastModifiedBy>
  <cp:lastPrinted>2019-03-25T00:38:00Z</cp:lastPrinted>
  <dcterms:modified xsi:type="dcterms:W3CDTF">2019-04-29T06:59:41Z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