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深圳市市场监督管理局</w:t>
      </w:r>
    </w:p>
    <w:p>
      <w:pPr>
        <w:spacing w:beforeLines="75" w:line="360" w:lineRule="auto"/>
        <w:jc w:val="center"/>
        <w:rPr>
          <w:rFonts w:ascii="黑体" w:hAnsi="黑体" w:eastAsia="黑体"/>
          <w:color w:val="000000"/>
          <w:sz w:val="36"/>
          <w:szCs w:val="36"/>
        </w:rPr>
      </w:pPr>
      <w:r>
        <w:rPr>
          <w:rFonts w:hint="eastAsia" w:ascii="黑体" w:hAnsi="黑体" w:eastAsia="黑体"/>
          <w:color w:val="000000"/>
          <w:sz w:val="36"/>
          <w:szCs w:val="36"/>
        </w:rPr>
        <w:t>家具成品有害物质限量监督抽查实施规范</w:t>
      </w:r>
    </w:p>
    <w:p>
      <w:pPr>
        <w:spacing w:beforeLines="75" w:line="360" w:lineRule="auto"/>
        <w:jc w:val="center"/>
        <w:rPr>
          <w:rFonts w:ascii="黑体" w:hAnsi="黑体" w:eastAsia="黑体"/>
          <w:color w:val="000000"/>
          <w:sz w:val="28"/>
        </w:rPr>
      </w:pPr>
      <w:r>
        <w:rPr>
          <w:rFonts w:hint="eastAsia" w:ascii="黑体" w:hAnsi="黑体" w:eastAsia="黑体"/>
          <w:color w:val="000000"/>
          <w:sz w:val="28"/>
        </w:rPr>
        <w:t>编号</w:t>
      </w:r>
      <w:r>
        <w:rPr>
          <w:rFonts w:ascii="黑体" w:hAnsi="黑体" w:eastAsia="黑体"/>
          <w:color w:val="000000"/>
          <w:sz w:val="28"/>
        </w:rPr>
        <w:t>：</w:t>
      </w:r>
      <w:bookmarkStart w:id="0" w:name="_GoBack"/>
      <w:r>
        <w:rPr>
          <w:rFonts w:hint="eastAsia" w:ascii="黑体" w:hAnsi="黑体" w:eastAsia="黑体"/>
          <w:color w:val="000000"/>
          <w:sz w:val="28"/>
        </w:rPr>
        <w:t>CCGF-SZ-051-2019</w:t>
      </w:r>
      <w:bookmarkEnd w:id="0"/>
      <w:r>
        <w:rPr>
          <w:rFonts w:hint="eastAsia" w:ascii="黑体" w:hAnsi="黑体" w:eastAsia="黑体"/>
          <w:color w:val="000000"/>
          <w:sz w:val="28"/>
        </w:rPr>
        <w:t xml:space="preserve"> </w:t>
      </w:r>
    </w:p>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1 范围</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本规范适用于深圳市生产领域和流通领域家具产品质量监督抽查。</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本规范内容包括产品分类、企业产品生产规模划分、检验依据、抽样、检验要求、判定原则、异议处理及附则。</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2  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按家具主要材料分为：木家具、软体家具等。</w:t>
      </w:r>
    </w:p>
    <w:p>
      <w:pPr>
        <w:numPr>
          <w:ilvl w:val="0"/>
          <w:numId w:val="1"/>
        </w:numPr>
        <w:snapToGrid w:val="0"/>
        <w:spacing w:line="360" w:lineRule="auto"/>
        <w:rPr>
          <w:rFonts w:ascii="仿宋_GB2312" w:hAnsi="宋体" w:eastAsia="仿宋_GB2312"/>
          <w:b/>
          <w:sz w:val="28"/>
          <w:szCs w:val="28"/>
        </w:rPr>
      </w:pPr>
      <w:r>
        <w:rPr>
          <w:rFonts w:hint="eastAsia" w:ascii="仿宋_GB2312" w:hAnsi="宋体" w:eastAsia="仿宋_GB2312"/>
          <w:b/>
          <w:sz w:val="28"/>
          <w:szCs w:val="28"/>
        </w:rPr>
        <w:t>术语和定义</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本规范中未列出的术语和定义同相关引用标准。</w:t>
      </w:r>
    </w:p>
    <w:p>
      <w:pPr>
        <w:numPr>
          <w:ilvl w:val="0"/>
          <w:numId w:val="1"/>
        </w:numPr>
        <w:snapToGrid w:val="0"/>
        <w:spacing w:line="360" w:lineRule="auto"/>
        <w:rPr>
          <w:rFonts w:ascii="仿宋_GB2312" w:hAnsi="宋体" w:eastAsia="仿宋_GB2312"/>
          <w:b/>
          <w:sz w:val="28"/>
          <w:szCs w:val="28"/>
        </w:rPr>
      </w:pPr>
      <w:r>
        <w:rPr>
          <w:rFonts w:hint="eastAsia" w:ascii="仿宋_GB2312" w:hAnsi="宋体" w:eastAsia="仿宋_GB2312"/>
          <w:b/>
          <w:sz w:val="28"/>
          <w:szCs w:val="28"/>
        </w:rPr>
        <w:t>检验依据</w:t>
      </w:r>
    </w:p>
    <w:p>
      <w:pPr>
        <w:snapToGrid w:val="0"/>
        <w:spacing w:line="360" w:lineRule="auto"/>
        <w:ind w:firstLine="478" w:firstLineChars="171"/>
        <w:rPr>
          <w:rFonts w:ascii="仿宋_GB2312" w:hAnsi="宋体" w:eastAsia="仿宋_GB2312"/>
          <w:sz w:val="28"/>
          <w:szCs w:val="28"/>
        </w:rPr>
      </w:pPr>
      <w:r>
        <w:rPr>
          <w:rFonts w:hint="eastAsia" w:ascii="仿宋_GB2312" w:hAnsi="宋体" w:eastAsia="仿宋_GB2312"/>
          <w:sz w:val="28"/>
          <w:szCs w:val="28"/>
        </w:rPr>
        <w:t>凡是注日期的文件，其随后所有的修改单（不包括勘误的内容）或修订版不适用于本规范。凡是不注日期的文件，其最新版本适用于本规范。</w:t>
      </w:r>
    </w:p>
    <w:tbl>
      <w:tblPr>
        <w:tblStyle w:val="17"/>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023"/>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shd w:val="clear" w:color="auto" w:fill="auto"/>
            <w:vAlign w:val="center"/>
          </w:tcPr>
          <w:p>
            <w:pPr>
              <w:snapToGrid w:val="0"/>
              <w:spacing w:line="360" w:lineRule="auto"/>
              <w:jc w:val="center"/>
              <w:rPr>
                <w:rFonts w:ascii="黑体" w:hAnsi="宋体" w:eastAsia="黑体"/>
                <w:color w:val="000000"/>
                <w:sz w:val="24"/>
                <w:szCs w:val="24"/>
              </w:rPr>
            </w:pPr>
            <w:r>
              <w:rPr>
                <w:rFonts w:hint="eastAsia" w:ascii="黑体" w:hAnsi="宋体" w:eastAsia="黑体"/>
                <w:color w:val="000000"/>
                <w:sz w:val="24"/>
                <w:szCs w:val="24"/>
              </w:rPr>
              <w:t>标准号</w:t>
            </w:r>
          </w:p>
        </w:tc>
        <w:tc>
          <w:tcPr>
            <w:tcW w:w="5023" w:type="dxa"/>
            <w:shd w:val="clear" w:color="auto" w:fill="auto"/>
            <w:vAlign w:val="center"/>
          </w:tcPr>
          <w:p>
            <w:pPr>
              <w:snapToGrid w:val="0"/>
              <w:spacing w:line="360" w:lineRule="auto"/>
              <w:jc w:val="center"/>
              <w:rPr>
                <w:rFonts w:ascii="黑体" w:hAnsi="宋体" w:eastAsia="黑体"/>
                <w:color w:val="000000"/>
                <w:sz w:val="24"/>
                <w:szCs w:val="24"/>
              </w:rPr>
            </w:pPr>
            <w:r>
              <w:rPr>
                <w:rFonts w:hint="eastAsia" w:ascii="黑体" w:hAnsi="宋体" w:eastAsia="黑体"/>
                <w:color w:val="000000"/>
                <w:sz w:val="24"/>
                <w:szCs w:val="24"/>
              </w:rPr>
              <w:t>标准名称</w:t>
            </w:r>
          </w:p>
        </w:tc>
        <w:tc>
          <w:tcPr>
            <w:tcW w:w="2571" w:type="dxa"/>
            <w:shd w:val="clear" w:color="auto" w:fill="auto"/>
            <w:vAlign w:val="center"/>
          </w:tcPr>
          <w:p>
            <w:pPr>
              <w:snapToGrid w:val="0"/>
              <w:spacing w:line="360" w:lineRule="auto"/>
              <w:jc w:val="center"/>
              <w:rPr>
                <w:rFonts w:ascii="黑体" w:hAnsi="宋体" w:eastAsia="黑体"/>
                <w:color w:val="000000"/>
                <w:sz w:val="24"/>
                <w:szCs w:val="24"/>
              </w:rPr>
            </w:pPr>
            <w:r>
              <w:rPr>
                <w:rFonts w:hint="eastAsia" w:ascii="黑体" w:hAnsi="宋体" w:eastAsia="黑体"/>
                <w:color w:val="000000"/>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shd w:val="clear" w:color="auto" w:fill="auto"/>
            <w:vAlign w:val="center"/>
          </w:tcPr>
          <w:p>
            <w:pPr>
              <w:autoSpaceDE w:val="0"/>
              <w:autoSpaceDN w:val="0"/>
              <w:adjustRightIn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SZJG 52-2016</w:t>
            </w:r>
          </w:p>
        </w:tc>
        <w:tc>
          <w:tcPr>
            <w:tcW w:w="5023" w:type="dxa"/>
            <w:shd w:val="clear" w:color="auto" w:fill="auto"/>
            <w:vAlign w:val="center"/>
          </w:tcPr>
          <w:p>
            <w:pPr>
              <w:autoSpaceDE w:val="0"/>
              <w:autoSpaceDN w:val="0"/>
              <w:adjustRightInd w:val="0"/>
              <w:spacing w:line="360" w:lineRule="auto"/>
              <w:jc w:val="center"/>
              <w:rPr>
                <w:rFonts w:ascii="仿宋_GB2312" w:hAnsi="宋体" w:eastAsia="仿宋_GB2312"/>
                <w:color w:val="000000"/>
                <w:sz w:val="24"/>
                <w:szCs w:val="24"/>
              </w:rPr>
            </w:pPr>
            <w:r>
              <w:rPr>
                <w:rFonts w:hint="eastAsia" w:ascii="仿宋_GB2312" w:hAnsi="宋体" w:eastAsia="仿宋_GB2312"/>
                <w:color w:val="000000"/>
                <w:sz w:val="24"/>
                <w:szCs w:val="24"/>
              </w:rPr>
              <w:t>《家具成品及原辅材料中有害物质限量》</w:t>
            </w:r>
          </w:p>
        </w:tc>
        <w:tc>
          <w:tcPr>
            <w:tcW w:w="2571" w:type="dxa"/>
            <w:shd w:val="clear" w:color="auto" w:fill="auto"/>
            <w:vAlign w:val="center"/>
          </w:tcPr>
          <w:p>
            <w:pPr>
              <w:snapToGrid w:val="0"/>
              <w:spacing w:line="360" w:lineRule="auto"/>
              <w:jc w:val="center"/>
              <w:rPr>
                <w:rFonts w:ascii="仿宋_GB2312" w:hAnsi="Calibri" w:eastAsia="仿宋_GB2312"/>
                <w:color w:val="000000"/>
                <w:sz w:val="24"/>
                <w:szCs w:val="24"/>
              </w:rPr>
            </w:pPr>
            <w:r>
              <w:rPr>
                <w:rFonts w:hint="eastAsia" w:ascii="仿宋_GB2312" w:hAnsi="Calibri" w:eastAsia="仿宋_GB2312"/>
                <w:color w:val="000000"/>
                <w:sz w:val="24"/>
                <w:szCs w:val="24"/>
              </w:rPr>
              <w:sym w:font="Wingdings 2" w:char="F052"/>
            </w:r>
            <w:r>
              <w:rPr>
                <w:rFonts w:hint="eastAsia" w:ascii="仿宋_GB2312" w:hAnsi="宋体" w:eastAsia="仿宋_GB2312"/>
                <w:color w:val="000000"/>
                <w:sz w:val="24"/>
                <w:szCs w:val="24"/>
              </w:rPr>
              <w:t xml:space="preserve">CMA  </w:t>
            </w:r>
            <w:r>
              <w:rPr>
                <w:rFonts w:hint="eastAsia" w:ascii="仿宋_GB2312" w:hAnsi="Calibri" w:eastAsia="仿宋_GB2312"/>
                <w:color w:val="000000"/>
                <w:sz w:val="24"/>
                <w:szCs w:val="24"/>
              </w:rPr>
              <w:sym w:font="Wingdings 2" w:char="F052"/>
            </w:r>
            <w:r>
              <w:rPr>
                <w:rFonts w:hint="eastAsia" w:ascii="仿宋_GB2312" w:hAnsi="宋体" w:eastAsia="仿宋_GB2312"/>
                <w:color w:val="000000"/>
                <w:sz w:val="24"/>
                <w:szCs w:val="24"/>
              </w:rPr>
              <w:t xml:space="preserve">CAL  </w:t>
            </w:r>
            <w:r>
              <w:rPr>
                <w:rFonts w:hint="eastAsia" w:ascii="仿宋_GB2312" w:hAnsi="Calibri" w:eastAsia="仿宋_GB2312"/>
                <w:color w:val="000000"/>
                <w:sz w:val="24"/>
                <w:szCs w:val="24"/>
              </w:rPr>
              <w:sym w:font="Wingdings 2" w:char="F052"/>
            </w:r>
            <w:r>
              <w:rPr>
                <w:rFonts w:hint="eastAsia" w:ascii="仿宋_GB2312" w:hAnsi="宋体" w:eastAsia="仿宋_GB2312"/>
                <w:color w:val="000000"/>
                <w:sz w:val="24"/>
                <w:szCs w:val="24"/>
              </w:rPr>
              <w:t>CNAS</w:t>
            </w:r>
          </w:p>
        </w:tc>
      </w:tr>
    </w:tbl>
    <w:p>
      <w:pPr>
        <w:snapToGrid w:val="0"/>
        <w:spacing w:line="360" w:lineRule="auto"/>
        <w:ind w:firstLine="548" w:firstLineChars="196"/>
        <w:rPr>
          <w:rFonts w:ascii="仿宋_GB2312" w:hAnsi="宋体" w:eastAsia="仿宋_GB2312"/>
          <w:color w:val="000000"/>
          <w:sz w:val="28"/>
          <w:szCs w:val="28"/>
        </w:rPr>
      </w:pPr>
      <w:r>
        <w:rPr>
          <w:rFonts w:hint="eastAsia" w:ascii="仿宋_GB2312" w:hAnsi="宋体" w:eastAsia="仿宋_GB2312"/>
          <w:color w:val="000000"/>
          <w:sz w:val="28"/>
          <w:szCs w:val="28"/>
        </w:rPr>
        <w:t>相关的产品强制性标准、行业标准、政府法规及产品的明示标准（包括备案的企业标准）和明示担保内容。</w:t>
      </w:r>
    </w:p>
    <w:p>
      <w:pPr>
        <w:numPr>
          <w:ilvl w:val="0"/>
          <w:numId w:val="1"/>
        </w:numPr>
        <w:snapToGrid w:val="0"/>
        <w:spacing w:line="360" w:lineRule="auto"/>
        <w:rPr>
          <w:rFonts w:ascii="仿宋_GB2312" w:hAnsi="宋体" w:eastAsia="仿宋_GB2312"/>
          <w:b/>
          <w:sz w:val="28"/>
          <w:szCs w:val="28"/>
        </w:rPr>
      </w:pPr>
      <w:r>
        <w:rPr>
          <w:rFonts w:hint="eastAsia" w:ascii="仿宋_GB2312" w:hAnsi="宋体" w:eastAsia="仿宋_GB2312"/>
          <w:b/>
          <w:sz w:val="28"/>
          <w:szCs w:val="28"/>
        </w:rPr>
        <w:t xml:space="preserve"> 抽样</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5.1抽样型号或规格</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抽取样品应为同一型号规格、同一批次的产品。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5.2抽样方法、基数及数量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在生产企业的成品库内、生产线末端或市场上随机抽取经企业检验合格或以任何方式表明已检验合格的并在国内销售的成品。</w:t>
      </w: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抽样基数：在生产领域和流通领域抽样、抽样基数不低于抽样数量。</w:t>
      </w:r>
    </w:p>
    <w:p>
      <w:pPr>
        <w:snapToGrid w:val="0"/>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rPr>
        <w:t>家具产品抽样数量为1件，1件用</w:t>
      </w:r>
      <w:r>
        <w:rPr>
          <w:rFonts w:hint="eastAsia" w:ascii="仿宋_GB2312" w:hAnsi="宋体" w:eastAsia="仿宋_GB2312"/>
          <w:color w:val="000000"/>
          <w:sz w:val="28"/>
          <w:szCs w:val="28"/>
        </w:rPr>
        <w:t>于检验，不抽备样。在</w:t>
      </w:r>
      <w:r>
        <w:rPr>
          <w:rFonts w:hint="eastAsia" w:ascii="仿宋_GB2312" w:hAnsi="宋体" w:eastAsia="仿宋_GB2312"/>
          <w:sz w:val="28"/>
          <w:szCs w:val="28"/>
        </w:rPr>
        <w:t>本规范中，检验机构在检验过程中对检验结果进行复验所采用的样品，应是抽取的检验样品。</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5.3样品处置</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5.3.1</w:t>
      </w:r>
      <w:r>
        <w:rPr>
          <w:rFonts w:hint="eastAsia" w:ascii="仿宋_GB2312" w:hAnsi="宋体" w:eastAsia="仿宋_GB2312"/>
          <w:sz w:val="28"/>
          <w:szCs w:val="28"/>
        </w:rPr>
        <w:t xml:space="preserve"> 被抽查样品应贴封条和防拆封措施，以保证其完整性、真实性，包括附在样品上的使用说明及其他信息。如样品标签上标明特殊储存或搬运要求，样品应按要求进行处置，检验样品和备用样品应分别封样。</w:t>
      </w:r>
    </w:p>
    <w:p>
      <w:pPr>
        <w:snapToGrid w:val="0"/>
        <w:spacing w:line="360" w:lineRule="auto"/>
        <w:rPr>
          <w:rFonts w:ascii="仿宋_GB2312" w:hAnsi="宋体" w:eastAsia="仿宋_GB2312"/>
          <w:sz w:val="28"/>
          <w:szCs w:val="28"/>
        </w:rPr>
      </w:pPr>
      <w:r>
        <w:rPr>
          <w:rFonts w:hint="eastAsia" w:ascii="仿宋_GB2312" w:hAnsi="宋体" w:eastAsia="仿宋_GB2312"/>
          <w:b/>
          <w:sz w:val="28"/>
          <w:szCs w:val="28"/>
        </w:rPr>
        <w:t>5.3.2</w:t>
      </w:r>
      <w:r>
        <w:rPr>
          <w:rFonts w:hint="eastAsia" w:ascii="仿宋_GB2312" w:hAnsi="宋体" w:eastAsia="仿宋_GB2312"/>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如有必要，也可由抽样人员要求受检单位在规定时间内送到指定的检验机构相关部门。</w:t>
      </w:r>
    </w:p>
    <w:p>
      <w:pPr>
        <w:numPr>
          <w:ilvl w:val="1"/>
          <w:numId w:val="2"/>
        </w:numPr>
        <w:snapToGrid w:val="0"/>
        <w:spacing w:line="360" w:lineRule="auto"/>
        <w:rPr>
          <w:rFonts w:ascii="仿宋_GB2312" w:hAnsi="宋体" w:eastAsia="仿宋_GB2312"/>
          <w:b/>
          <w:sz w:val="28"/>
          <w:szCs w:val="28"/>
        </w:rPr>
      </w:pPr>
      <w:r>
        <w:rPr>
          <w:rFonts w:hint="eastAsia" w:ascii="仿宋_GB2312" w:hAnsi="宋体" w:eastAsia="仿宋_GB2312"/>
          <w:b/>
          <w:sz w:val="28"/>
          <w:szCs w:val="28"/>
        </w:rPr>
        <w:t>抽样单</w:t>
      </w:r>
    </w:p>
    <w:p>
      <w:pPr>
        <w:snapToGrid w:val="0"/>
        <w:spacing w:line="360" w:lineRule="auto"/>
        <w:ind w:firstLine="560" w:firstLineChars="200"/>
        <w:rPr>
          <w:rFonts w:ascii="仿宋_GB2312" w:hAnsi="宋体" w:eastAsia="仿宋_GB2312"/>
          <w:b/>
          <w:sz w:val="28"/>
          <w:szCs w:val="28"/>
        </w:rPr>
      </w:pPr>
      <w:r>
        <w:rPr>
          <w:rFonts w:hint="eastAsia" w:ascii="仿宋_GB2312" w:hAnsi="宋体" w:eastAsia="仿宋_GB2312"/>
          <w:sz w:val="28"/>
          <w:szCs w:val="28"/>
        </w:rPr>
        <w:t>应按有关规定填写抽样单，并记录被抽查产品及企业相关信息。同时记录被抽查企业上一年度生产的该类产品销售总额，以万元计。若被抽查企业上一年未生产此类产品，记录本年度已实际生产此类产品的销售总额。</w:t>
      </w:r>
    </w:p>
    <w:p>
      <w:pPr>
        <w:numPr>
          <w:ilvl w:val="0"/>
          <w:numId w:val="1"/>
        </w:numPr>
        <w:snapToGrid w:val="0"/>
        <w:spacing w:line="360" w:lineRule="auto"/>
        <w:rPr>
          <w:rFonts w:ascii="仿宋_GB2312" w:hAnsi="宋体" w:eastAsia="仿宋_GB2312"/>
          <w:b/>
          <w:sz w:val="28"/>
          <w:szCs w:val="28"/>
        </w:rPr>
      </w:pPr>
      <w:r>
        <w:rPr>
          <w:rFonts w:hint="eastAsia" w:ascii="仿宋_GB2312" w:hAnsi="宋体" w:eastAsia="仿宋_GB2312"/>
          <w:b/>
          <w:sz w:val="28"/>
          <w:szCs w:val="28"/>
        </w:rPr>
        <w:t xml:space="preserve">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6.1检验项目</w:t>
      </w:r>
    </w:p>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sz w:val="28"/>
          <w:szCs w:val="28"/>
        </w:rPr>
      </w:pPr>
    </w:p>
    <w:tbl>
      <w:tblPr>
        <w:tblStyle w:val="17"/>
        <w:tblW w:w="972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16"/>
        <w:gridCol w:w="2603"/>
        <w:gridCol w:w="1537"/>
        <w:gridCol w:w="1170"/>
        <w:gridCol w:w="2052"/>
        <w:gridCol w:w="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73" w:type="dxa"/>
            <w:tcBorders>
              <w:top w:val="single" w:color="auto" w:sz="8" w:space="0"/>
              <w:left w:val="single" w:color="auto" w:sz="8" w:space="0"/>
              <w:right w:val="single" w:color="auto" w:sz="4" w:space="0"/>
            </w:tcBorders>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产品类型</w:t>
            </w:r>
          </w:p>
        </w:tc>
        <w:tc>
          <w:tcPr>
            <w:tcW w:w="816" w:type="dxa"/>
            <w:tcBorders>
              <w:top w:val="single" w:color="auto" w:sz="8" w:space="0"/>
              <w:left w:val="single" w:color="auto" w:sz="8" w:space="0"/>
              <w:right w:val="single" w:color="auto" w:sz="4" w:space="0"/>
            </w:tcBorders>
            <w:tcMar>
              <w:top w:w="0" w:type="dxa"/>
              <w:left w:w="85" w:type="dxa"/>
              <w:bottom w:w="0" w:type="dxa"/>
              <w:right w:w="85" w:type="dxa"/>
            </w:tcMar>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序号</w:t>
            </w:r>
          </w:p>
        </w:tc>
        <w:tc>
          <w:tcPr>
            <w:tcW w:w="2603" w:type="dxa"/>
            <w:tcBorders>
              <w:top w:val="single" w:color="auto" w:sz="8" w:space="0"/>
              <w:left w:val="single" w:color="auto" w:sz="4" w:space="0"/>
              <w:right w:val="single" w:color="auto" w:sz="4" w:space="0"/>
            </w:tcBorders>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检验项目</w:t>
            </w:r>
          </w:p>
        </w:tc>
        <w:tc>
          <w:tcPr>
            <w:tcW w:w="1537" w:type="dxa"/>
            <w:tcBorders>
              <w:top w:val="single" w:color="auto" w:sz="8" w:space="0"/>
              <w:left w:val="single" w:color="auto" w:sz="4" w:space="0"/>
              <w:right w:val="single" w:color="auto" w:sz="4" w:space="0"/>
            </w:tcBorders>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依据标准</w:t>
            </w:r>
          </w:p>
        </w:tc>
        <w:tc>
          <w:tcPr>
            <w:tcW w:w="1170" w:type="dxa"/>
            <w:tcBorders>
              <w:top w:val="single" w:color="auto" w:sz="8" w:space="0"/>
              <w:left w:val="single" w:color="auto" w:sz="4" w:space="0"/>
              <w:right w:val="single" w:color="auto" w:sz="4" w:space="0"/>
            </w:tcBorders>
            <w:vAlign w:val="center"/>
          </w:tcPr>
          <w:p>
            <w:pPr>
              <w:snapToGrid w:val="0"/>
              <w:spacing w:line="300" w:lineRule="exact"/>
              <w:jc w:val="center"/>
              <w:rPr>
                <w:rFonts w:ascii="黑体" w:hAnsi="黑体" w:eastAsia="黑体"/>
                <w:color w:val="000000"/>
                <w:sz w:val="24"/>
                <w:szCs w:val="24"/>
              </w:rPr>
            </w:pPr>
            <w:r>
              <w:rPr>
                <w:rFonts w:hint="eastAsia" w:ascii="黑体" w:hAnsi="黑体" w:eastAsia="黑体"/>
                <w:color w:val="000000"/>
                <w:sz w:val="24"/>
                <w:szCs w:val="24"/>
              </w:rPr>
              <w:t>强制/推荐性</w:t>
            </w:r>
          </w:p>
        </w:tc>
        <w:tc>
          <w:tcPr>
            <w:tcW w:w="2052" w:type="dxa"/>
            <w:tcBorders>
              <w:top w:val="single" w:color="auto" w:sz="8" w:space="0"/>
              <w:left w:val="single" w:color="auto" w:sz="4" w:space="0"/>
              <w:right w:val="single" w:color="auto" w:sz="4" w:space="0"/>
            </w:tcBorders>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检测方法</w:t>
            </w:r>
          </w:p>
        </w:tc>
        <w:tc>
          <w:tcPr>
            <w:tcW w:w="774" w:type="dxa"/>
            <w:tcBorders>
              <w:top w:val="single" w:color="auto" w:sz="8" w:space="0"/>
              <w:left w:val="single" w:color="auto" w:sz="4" w:space="0"/>
              <w:right w:val="single" w:color="auto" w:sz="4" w:space="0"/>
            </w:tcBorders>
            <w:shd w:val="clear" w:color="auto" w:fill="auto"/>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复检样品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restart"/>
            <w:tcBorders>
              <w:top w:val="single" w:color="auto" w:sz="4" w:space="0"/>
              <w:left w:val="single" w:color="auto" w:sz="8" w:space="0"/>
              <w:right w:val="single" w:color="auto" w:sz="4" w:space="0"/>
            </w:tcBorders>
            <w:vAlign w:val="center"/>
          </w:tcPr>
          <w:p>
            <w:pPr>
              <w:adjustRightInd w:val="0"/>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家具</w:t>
            </w: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adjustRightInd w:val="0"/>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26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黑体" w:eastAsia="仿宋_GB2312"/>
                <w:color w:val="000000"/>
                <w:sz w:val="24"/>
                <w:szCs w:val="24"/>
              </w:rPr>
            </w:pPr>
            <w:r>
              <w:rPr>
                <w:rFonts w:hint="eastAsia" w:ascii="仿宋_GB2312" w:hAnsi="黑体" w:eastAsia="仿宋_GB2312"/>
                <w:color w:val="000000"/>
                <w:sz w:val="24"/>
                <w:szCs w:val="24"/>
              </w:rPr>
              <w:t>表面涂层可迁移元素（</w:t>
            </w:r>
            <w:r>
              <w:rPr>
                <w:rFonts w:hint="eastAsia" w:ascii="仿宋_GB2312" w:hAnsi="宋体" w:eastAsia="仿宋_GB2312" w:cs="宋体"/>
                <w:color w:val="000000"/>
                <w:kern w:val="0"/>
                <w:sz w:val="24"/>
                <w:szCs w:val="24"/>
              </w:rPr>
              <w:t>铅、镉、铬、汞、砷、锑、钡、硒</w:t>
            </w:r>
            <w:r>
              <w:rPr>
                <w:rFonts w:hint="eastAsia" w:ascii="仿宋_GB2312" w:hAnsi="黑体" w:eastAsia="仿宋_GB2312"/>
                <w:color w:val="000000"/>
                <w:sz w:val="24"/>
                <w:szCs w:val="24"/>
              </w:rPr>
              <w:t>）</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黑体" w:eastAsia="仿宋_GB2312"/>
                <w:color w:val="000000"/>
                <w:sz w:val="24"/>
                <w:szCs w:val="24"/>
              </w:rPr>
            </w:pPr>
            <w:r>
              <w:rPr>
                <w:rFonts w:hint="eastAsia" w:ascii="仿宋_GB2312" w:eastAsia="仿宋_GB2312"/>
                <w:color w:val="000000"/>
                <w:sz w:val="24"/>
                <w:szCs w:val="24"/>
              </w:rPr>
              <w:t>GB 6675.4-2014</w:t>
            </w:r>
          </w:p>
        </w:tc>
        <w:tc>
          <w:tcPr>
            <w:tcW w:w="774"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仿宋_GB2312" w:hAnsi="宋体" w:eastAsia="仿宋_GB2312"/>
                <w:color w:val="000000"/>
                <w:sz w:val="24"/>
                <w:szCs w:val="24"/>
              </w:rPr>
            </w:pP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adjustRightInd w:val="0"/>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2</w:t>
            </w:r>
          </w:p>
        </w:tc>
        <w:tc>
          <w:tcPr>
            <w:tcW w:w="2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甲醛释放量</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4"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continue"/>
            <w:tcBorders>
              <w:left w:val="single" w:color="auto" w:sz="8" w:space="0"/>
              <w:right w:val="single" w:color="auto" w:sz="4" w:space="0"/>
            </w:tcBorders>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r>
              <w:rPr>
                <w:rFonts w:hint="eastAsia" w:ascii="仿宋_GB2312" w:hAnsi="宋体" w:eastAsia="仿宋_GB2312"/>
                <w:color w:val="000000"/>
                <w:sz w:val="24"/>
                <w:szCs w:val="24"/>
              </w:rPr>
              <w:t>3</w:t>
            </w:r>
          </w:p>
        </w:tc>
        <w:tc>
          <w:tcPr>
            <w:tcW w:w="2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苯释放量</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4"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continue"/>
            <w:tcBorders>
              <w:left w:val="single" w:color="auto" w:sz="8" w:space="0"/>
              <w:right w:val="single" w:color="auto" w:sz="4" w:space="0"/>
            </w:tcBorders>
            <w:vAlign w:val="center"/>
          </w:tcPr>
          <w:p>
            <w:pPr>
              <w:adjustRightInd w:val="0"/>
              <w:snapToGrid w:val="0"/>
              <w:jc w:val="center"/>
              <w:rPr>
                <w:rFonts w:ascii="仿宋_GB2312" w:hAnsi="宋体" w:eastAsia="仿宋_GB2312"/>
                <w:color w:val="000000"/>
                <w:sz w:val="24"/>
                <w:szCs w:val="24"/>
              </w:rPr>
            </w:pP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adjustRightInd w:val="0"/>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4</w:t>
            </w:r>
          </w:p>
        </w:tc>
        <w:tc>
          <w:tcPr>
            <w:tcW w:w="2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甲苯释放量</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4"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continue"/>
            <w:tcBorders>
              <w:left w:val="single" w:color="auto" w:sz="8" w:space="0"/>
              <w:right w:val="single" w:color="auto" w:sz="4" w:space="0"/>
            </w:tcBorders>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r>
              <w:rPr>
                <w:rFonts w:hint="eastAsia" w:ascii="仿宋_GB2312" w:hAnsi="宋体" w:eastAsia="仿宋_GB2312"/>
                <w:color w:val="000000"/>
                <w:sz w:val="24"/>
                <w:szCs w:val="24"/>
              </w:rPr>
              <w:t>5</w:t>
            </w:r>
          </w:p>
        </w:tc>
        <w:tc>
          <w:tcPr>
            <w:tcW w:w="2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二甲苯释放量</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beforeLines="25" w:afterLines="25"/>
              <w:jc w:val="center"/>
              <w:rPr>
                <w:rFonts w:ascii="仿宋_GB2312" w:hAnsi="宋体"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4" w:type="dxa"/>
            <w:tcBorders>
              <w:left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3" w:type="dxa"/>
            <w:vMerge w:val="continue"/>
            <w:tcBorders>
              <w:left w:val="single" w:color="auto" w:sz="8" w:space="0"/>
              <w:bottom w:val="single" w:color="auto" w:sz="4" w:space="0"/>
              <w:right w:val="single" w:color="auto" w:sz="4" w:space="0"/>
            </w:tcBorders>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p>
        </w:tc>
        <w:tc>
          <w:tcPr>
            <w:tcW w:w="816" w:type="dxa"/>
            <w:tcBorders>
              <w:top w:val="single" w:color="auto" w:sz="4" w:space="0"/>
              <w:left w:val="single" w:color="auto" w:sz="8" w:space="0"/>
              <w:bottom w:val="single" w:color="auto" w:sz="4" w:space="0"/>
              <w:right w:val="single" w:color="auto" w:sz="4" w:space="0"/>
            </w:tcBorders>
            <w:tcMar>
              <w:top w:w="0" w:type="dxa"/>
              <w:left w:w="85" w:type="dxa"/>
              <w:bottom w:w="0" w:type="dxa"/>
              <w:right w:w="85" w:type="dxa"/>
            </w:tcMar>
            <w:vAlign w:val="center"/>
          </w:tcPr>
          <w:p>
            <w:pPr>
              <w:pStyle w:val="35"/>
              <w:widowControl w:val="0"/>
              <w:adjustRightInd w:val="0"/>
              <w:snapToGrid w:val="0"/>
              <w:ind w:firstLine="0" w:firstLineChars="0"/>
              <w:jc w:val="center"/>
              <w:rPr>
                <w:rFonts w:ascii="仿宋_GB2312" w:hAnsi="宋体" w:eastAsia="仿宋_GB2312"/>
                <w:color w:val="000000"/>
                <w:sz w:val="24"/>
                <w:szCs w:val="24"/>
              </w:rPr>
            </w:pPr>
            <w:r>
              <w:rPr>
                <w:rFonts w:hint="eastAsia" w:ascii="仿宋_GB2312" w:hAnsi="宋体" w:eastAsia="仿宋_GB2312"/>
                <w:color w:val="000000"/>
                <w:sz w:val="24"/>
                <w:szCs w:val="24"/>
              </w:rPr>
              <w:t>6</w:t>
            </w:r>
          </w:p>
        </w:tc>
        <w:tc>
          <w:tcPr>
            <w:tcW w:w="26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总挥发性有机化合物（TVOC）释放量</w:t>
            </w:r>
          </w:p>
        </w:tc>
        <w:tc>
          <w:tcPr>
            <w:tcW w:w="15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w:t>
            </w:r>
          </w:p>
        </w:tc>
        <w:tc>
          <w:tcPr>
            <w:tcW w:w="11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szCs w:val="24"/>
              </w:rPr>
            </w:pPr>
            <w:r>
              <w:rPr>
                <w:rFonts w:hint="eastAsia" w:ascii="仿宋_GB2312" w:hAnsi="宋体" w:eastAsia="仿宋_GB2312"/>
                <w:color w:val="000000"/>
                <w:sz w:val="24"/>
                <w:szCs w:val="24"/>
              </w:rPr>
              <w:t>强制性</w:t>
            </w:r>
          </w:p>
        </w:tc>
        <w:tc>
          <w:tcPr>
            <w:tcW w:w="2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olor w:val="000000"/>
                <w:sz w:val="24"/>
                <w:szCs w:val="24"/>
              </w:rPr>
            </w:pPr>
            <w:r>
              <w:rPr>
                <w:rFonts w:hint="eastAsia" w:ascii="仿宋_GB2312" w:eastAsia="仿宋_GB2312"/>
                <w:color w:val="000000"/>
                <w:sz w:val="24"/>
                <w:szCs w:val="24"/>
              </w:rPr>
              <w:t>SZJG52-2016 GB/T31106-2014</w:t>
            </w:r>
          </w:p>
        </w:tc>
        <w:tc>
          <w:tcPr>
            <w:tcW w:w="774" w:type="dxa"/>
            <w:tcBorders>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原样</w:t>
            </w:r>
          </w:p>
        </w:tc>
      </w:tr>
    </w:tbl>
    <w:p>
      <w:pPr>
        <w:snapToGrid w:val="0"/>
        <w:spacing w:line="360" w:lineRule="auto"/>
        <w:rPr>
          <w:rFonts w:ascii="仿宋_GB2312" w:hAnsi="宋体" w:eastAsia="仿宋_GB2312"/>
          <w:b/>
          <w:sz w:val="28"/>
          <w:szCs w:val="28"/>
        </w:rPr>
      </w:pP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6.2检验应注意的问题</w:t>
      </w:r>
    </w:p>
    <w:p>
      <w:pPr>
        <w:snapToGrid w:val="0"/>
        <w:spacing w:line="360" w:lineRule="auto"/>
        <w:rPr>
          <w:rFonts w:ascii="仿宋_GB2312" w:hAnsi="宋体" w:eastAsia="仿宋_GB2312"/>
          <w:color w:val="000000"/>
          <w:sz w:val="28"/>
          <w:szCs w:val="28"/>
        </w:rPr>
      </w:pPr>
      <w:r>
        <w:rPr>
          <w:rFonts w:hint="eastAsia" w:ascii="仿宋_GB2312" w:eastAsia="仿宋_GB2312" w:cs="Sim Sun"/>
          <w:b/>
          <w:color w:val="000000"/>
          <w:kern w:val="0"/>
          <w:sz w:val="28"/>
          <w:szCs w:val="28"/>
        </w:rPr>
        <w:t>6.2.1</w:t>
      </w:r>
      <w:r>
        <w:rPr>
          <w:rFonts w:hint="eastAsia" w:ascii="仿宋_GB2312" w:eastAsia="仿宋_GB2312" w:cs="Sim Sun"/>
          <w:color w:val="000000"/>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olor w:val="000000"/>
          <w:sz w:val="28"/>
          <w:szCs w:val="28"/>
        </w:rPr>
        <w:t>备用</w:t>
      </w:r>
      <w:r>
        <w:rPr>
          <w:rFonts w:hint="eastAsia" w:ascii="仿宋_GB2312" w:hAnsi="宋体" w:eastAsia="仿宋_GB2312"/>
          <w:iCs/>
          <w:color w:val="000000"/>
          <w:sz w:val="28"/>
          <w:szCs w:val="28"/>
        </w:rPr>
        <w:t>样品应该贮存在阴凉、干燥、安全、避光处，在整个保存期间应保证签封完整无损。</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6.2.2</w:t>
      </w:r>
      <w:r>
        <w:rPr>
          <w:rFonts w:hint="eastAsia" w:ascii="仿宋_GB2312" w:eastAsia="仿宋_GB2312" w:cs="Sim Sun"/>
          <w:color w:val="000000"/>
          <w:kern w:val="0"/>
          <w:sz w:val="28"/>
          <w:szCs w:val="28"/>
        </w:rPr>
        <w:t>若被检产品明示的质量要求高于本规范中检验项目依据的标准要求时，应按被检产品明示的质量要求判定。</w:t>
      </w:r>
    </w:p>
    <w:p>
      <w:pPr>
        <w:snapToGrid w:val="0"/>
        <w:spacing w:line="360" w:lineRule="auto"/>
        <w:rPr>
          <w:rFonts w:ascii="仿宋_GB2312" w:eastAsia="仿宋_GB2312" w:cs="Sim Sun"/>
          <w:color w:val="000000"/>
          <w:kern w:val="0"/>
          <w:sz w:val="28"/>
          <w:szCs w:val="28"/>
        </w:rPr>
      </w:pPr>
      <w:r>
        <w:rPr>
          <w:rFonts w:hint="eastAsia" w:ascii="仿宋_GB2312" w:eastAsia="仿宋_GB2312" w:cs="Sim Sun"/>
          <w:b/>
          <w:color w:val="000000"/>
          <w:kern w:val="0"/>
          <w:sz w:val="28"/>
          <w:szCs w:val="28"/>
        </w:rPr>
        <w:t>6.2.3</w:t>
      </w:r>
      <w:r>
        <w:rPr>
          <w:rFonts w:hint="eastAsia" w:ascii="仿宋_GB2312" w:eastAsia="仿宋_GB2312" w:cs="Sim Sun"/>
          <w:color w:val="000000"/>
          <w:kern w:val="0"/>
          <w:sz w:val="28"/>
          <w:szCs w:val="28"/>
        </w:rPr>
        <w:t>若被检产品明示的质量要求低于本规范中检验项目依据的强制性标准要求时，应按照强制性标准要求判定。</w:t>
      </w:r>
    </w:p>
    <w:p>
      <w:pPr>
        <w:snapToGrid w:val="0"/>
        <w:spacing w:line="360" w:lineRule="auto"/>
        <w:rPr>
          <w:rFonts w:ascii="仿宋_GB2312" w:hAnsi="宋体" w:eastAsia="仿宋_GB2312"/>
          <w:color w:val="000000"/>
          <w:sz w:val="28"/>
          <w:szCs w:val="28"/>
        </w:rPr>
      </w:pPr>
      <w:r>
        <w:rPr>
          <w:rFonts w:hint="eastAsia" w:ascii="仿宋_GB2312" w:eastAsia="仿宋_GB2312" w:cs="Sim Sun"/>
          <w:b/>
          <w:color w:val="000000"/>
          <w:kern w:val="0"/>
          <w:sz w:val="28"/>
          <w:szCs w:val="28"/>
        </w:rPr>
        <w:t>6.2.4</w:t>
      </w:r>
      <w:r>
        <w:rPr>
          <w:rFonts w:hint="eastAsia" w:ascii="仿宋_GB2312" w:eastAsia="仿宋_GB2312" w:cs="Sim Sun"/>
          <w:color w:val="000000"/>
          <w:kern w:val="0"/>
          <w:sz w:val="28"/>
          <w:szCs w:val="28"/>
        </w:rPr>
        <w:t>若被检产品明示的质量要求缺少本规范中检验项目依据的强制性标准要求时，应按照强制性标准要求判定。</w:t>
      </w:r>
    </w:p>
    <w:p>
      <w:pPr>
        <w:numPr>
          <w:ilvl w:val="0"/>
          <w:numId w:val="1"/>
        </w:num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判定原则</w:t>
      </w:r>
    </w:p>
    <w:p>
      <w:pPr>
        <w:snapToGrid w:val="0"/>
        <w:spacing w:line="360" w:lineRule="auto"/>
        <w:ind w:firstLine="560" w:firstLineChars="200"/>
        <w:rPr>
          <w:rFonts w:ascii="仿宋_GB2312" w:hAnsi="宋体" w:eastAsia="仿宋_GB2312" w:cs="H-SS9-PK7482000016e-Identity-H"/>
          <w:color w:val="000000"/>
          <w:kern w:val="0"/>
          <w:sz w:val="28"/>
          <w:szCs w:val="28"/>
        </w:rPr>
      </w:pPr>
      <w:r>
        <w:rPr>
          <w:rFonts w:hint="eastAsia" w:ascii="仿宋_GB2312" w:hAnsi="宋体" w:eastAsia="仿宋_GB2312" w:cs="H-SS9-PK7482000016e-Identity-H"/>
          <w:color w:val="000000"/>
          <w:kern w:val="0"/>
          <w:sz w:val="28"/>
          <w:szCs w:val="28"/>
        </w:rPr>
        <w:t>经检验，检验项目全部合格，判定为被抽查产品合格；检验项目中任一项或一项以上不合格，判定为被抽查产品不合格。</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8 异议处理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需对不合格项目复验时，按6.1选择复验样品。当复验结果仍不合格，维持原检验结果不变。当复验结果合格，以复验结果为准。本方案中所有项目均可进行复检。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本规范由深圳市市场监督管理局质量处管理。</w:t>
      </w: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im Sun">
    <w:altName w:val="仿宋_GB2312"/>
    <w:panose1 w:val="00000000000000000000"/>
    <w:charset w:val="86"/>
    <w:family w:val="swiss"/>
    <w:pitch w:val="default"/>
    <w:sig w:usb0="00000000" w:usb1="00000000" w:usb2="00000010" w:usb3="00000000" w:csb0="00040000" w:csb1="00000000"/>
  </w:font>
  <w:font w:name="H-SS9-PK7482000016e-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76DD8"/>
    <w:multiLevelType w:val="multilevel"/>
    <w:tmpl w:val="43C76DD8"/>
    <w:lvl w:ilvl="0" w:tentative="0">
      <w:start w:val="3"/>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FA265CA"/>
    <w:multiLevelType w:val="multilevel"/>
    <w:tmpl w:val="6FA265CA"/>
    <w:lvl w:ilvl="0" w:tentative="0">
      <w:start w:val="5"/>
      <w:numFmt w:val="decimal"/>
      <w:lvlText w:val="%1"/>
      <w:lvlJc w:val="left"/>
      <w:pPr>
        <w:ind w:left="465" w:hanging="46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1EE7"/>
    <w:rsid w:val="00045AEC"/>
    <w:rsid w:val="00067B9F"/>
    <w:rsid w:val="00081B9C"/>
    <w:rsid w:val="000C2E6A"/>
    <w:rsid w:val="000C351E"/>
    <w:rsid w:val="000D380C"/>
    <w:rsid w:val="001331CD"/>
    <w:rsid w:val="00156112"/>
    <w:rsid w:val="00192158"/>
    <w:rsid w:val="001A1012"/>
    <w:rsid w:val="001A7241"/>
    <w:rsid w:val="001B1B68"/>
    <w:rsid w:val="002445BF"/>
    <w:rsid w:val="00245EBE"/>
    <w:rsid w:val="00266F51"/>
    <w:rsid w:val="00267E0A"/>
    <w:rsid w:val="00273055"/>
    <w:rsid w:val="0028178E"/>
    <w:rsid w:val="002F14DD"/>
    <w:rsid w:val="003110CC"/>
    <w:rsid w:val="00322049"/>
    <w:rsid w:val="00327A52"/>
    <w:rsid w:val="003575D8"/>
    <w:rsid w:val="003725E7"/>
    <w:rsid w:val="00382C5A"/>
    <w:rsid w:val="00393289"/>
    <w:rsid w:val="003C65E2"/>
    <w:rsid w:val="003E02F4"/>
    <w:rsid w:val="004144CB"/>
    <w:rsid w:val="004169BB"/>
    <w:rsid w:val="00440B3B"/>
    <w:rsid w:val="00442803"/>
    <w:rsid w:val="00451A9C"/>
    <w:rsid w:val="00451F77"/>
    <w:rsid w:val="00455F50"/>
    <w:rsid w:val="00457393"/>
    <w:rsid w:val="004864E2"/>
    <w:rsid w:val="0049380F"/>
    <w:rsid w:val="004C1334"/>
    <w:rsid w:val="004E383D"/>
    <w:rsid w:val="004E7D91"/>
    <w:rsid w:val="00522D6E"/>
    <w:rsid w:val="005353FD"/>
    <w:rsid w:val="00544B94"/>
    <w:rsid w:val="00545A12"/>
    <w:rsid w:val="00550CE0"/>
    <w:rsid w:val="00584656"/>
    <w:rsid w:val="005B31B5"/>
    <w:rsid w:val="005C7BF5"/>
    <w:rsid w:val="005D4455"/>
    <w:rsid w:val="005D54BD"/>
    <w:rsid w:val="0064613E"/>
    <w:rsid w:val="0064797C"/>
    <w:rsid w:val="006575FA"/>
    <w:rsid w:val="00664748"/>
    <w:rsid w:val="0066561D"/>
    <w:rsid w:val="006726C6"/>
    <w:rsid w:val="00676815"/>
    <w:rsid w:val="00694207"/>
    <w:rsid w:val="006C3325"/>
    <w:rsid w:val="006E5DB1"/>
    <w:rsid w:val="007008A6"/>
    <w:rsid w:val="007508EA"/>
    <w:rsid w:val="00757BD9"/>
    <w:rsid w:val="0076203D"/>
    <w:rsid w:val="00776E2E"/>
    <w:rsid w:val="00777932"/>
    <w:rsid w:val="007C08DB"/>
    <w:rsid w:val="007C0F87"/>
    <w:rsid w:val="007C1126"/>
    <w:rsid w:val="00842D30"/>
    <w:rsid w:val="00845C8F"/>
    <w:rsid w:val="00864A08"/>
    <w:rsid w:val="00866E1E"/>
    <w:rsid w:val="0087352D"/>
    <w:rsid w:val="00886BC3"/>
    <w:rsid w:val="0089623D"/>
    <w:rsid w:val="008A3656"/>
    <w:rsid w:val="008D405A"/>
    <w:rsid w:val="00904E14"/>
    <w:rsid w:val="00917DB8"/>
    <w:rsid w:val="009C09F5"/>
    <w:rsid w:val="00A04793"/>
    <w:rsid w:val="00A13092"/>
    <w:rsid w:val="00A17997"/>
    <w:rsid w:val="00A679C5"/>
    <w:rsid w:val="00A87E54"/>
    <w:rsid w:val="00A93AEE"/>
    <w:rsid w:val="00AA1015"/>
    <w:rsid w:val="00AA2557"/>
    <w:rsid w:val="00AB00BE"/>
    <w:rsid w:val="00AC2428"/>
    <w:rsid w:val="00AD41D2"/>
    <w:rsid w:val="00AE6A3C"/>
    <w:rsid w:val="00B34033"/>
    <w:rsid w:val="00B47E10"/>
    <w:rsid w:val="00B82839"/>
    <w:rsid w:val="00B96E12"/>
    <w:rsid w:val="00BA0657"/>
    <w:rsid w:val="00BC4CBB"/>
    <w:rsid w:val="00BE5675"/>
    <w:rsid w:val="00C16673"/>
    <w:rsid w:val="00C17D9C"/>
    <w:rsid w:val="00C540E1"/>
    <w:rsid w:val="00C5760C"/>
    <w:rsid w:val="00C91CE2"/>
    <w:rsid w:val="00CC130D"/>
    <w:rsid w:val="00CF46C3"/>
    <w:rsid w:val="00CF4D8B"/>
    <w:rsid w:val="00D0449B"/>
    <w:rsid w:val="00D05242"/>
    <w:rsid w:val="00D32A3E"/>
    <w:rsid w:val="00D43CD3"/>
    <w:rsid w:val="00D451BF"/>
    <w:rsid w:val="00D5345F"/>
    <w:rsid w:val="00D54DD1"/>
    <w:rsid w:val="00DB5B58"/>
    <w:rsid w:val="00DC1E0B"/>
    <w:rsid w:val="00DC4635"/>
    <w:rsid w:val="00DD1CDC"/>
    <w:rsid w:val="00DD2244"/>
    <w:rsid w:val="00DD6BEB"/>
    <w:rsid w:val="00DE6471"/>
    <w:rsid w:val="00E111A4"/>
    <w:rsid w:val="00E766E9"/>
    <w:rsid w:val="00E84505"/>
    <w:rsid w:val="00EB0A44"/>
    <w:rsid w:val="00EB22D7"/>
    <w:rsid w:val="00EE51AD"/>
    <w:rsid w:val="00F02DB7"/>
    <w:rsid w:val="00F03FA6"/>
    <w:rsid w:val="00F2627D"/>
    <w:rsid w:val="00F336D3"/>
    <w:rsid w:val="00F35B1E"/>
    <w:rsid w:val="00F4112B"/>
    <w:rsid w:val="00F4546E"/>
    <w:rsid w:val="00F56B0F"/>
    <w:rsid w:val="00FD1D6C"/>
    <w:rsid w:val="00FE73FE"/>
    <w:rsid w:val="2349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qFormat/>
    <w:uiPriority w:val="99"/>
    <w:rPr>
      <w:rFonts w:asciiTheme="minorHAnsi" w:hAnsiTheme="minorHAnsi" w:eastAsiaTheme="minorEastAsia" w:cstheme="minorBidi"/>
      <w:b/>
      <w:bCs/>
      <w:szCs w:val="22"/>
    </w:rPr>
  </w:style>
  <w:style w:type="paragraph" w:styleId="3">
    <w:name w:val="annotation text"/>
    <w:basedOn w:val="1"/>
    <w:link w:val="28"/>
    <w:qFormat/>
    <w:uiPriority w:val="0"/>
    <w:pPr>
      <w:jc w:val="left"/>
    </w:pPr>
    <w:rPr>
      <w:rFonts w:ascii="Times New Roman" w:hAnsi="Times New Roman" w:eastAsia="宋体" w:cs="Times New Roman"/>
      <w:szCs w:val="24"/>
    </w:rPr>
  </w:style>
  <w:style w:type="paragraph" w:styleId="4">
    <w:name w:val="Body Text Indent"/>
    <w:basedOn w:val="1"/>
    <w:link w:val="22"/>
    <w:qFormat/>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iPriority w:val="0"/>
    <w:rPr>
      <w:rFonts w:ascii="Times New Roman" w:hAnsi="Times New Roman" w:eastAsia="宋体" w:cs="Times New Roman"/>
      <w:sz w:val="18"/>
      <w:szCs w:val="18"/>
    </w:rPr>
  </w:style>
  <w:style w:type="paragraph" w:styleId="9">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uiPriority w:val="0"/>
    <w:pPr>
      <w:spacing w:after="120"/>
      <w:ind w:left="420" w:leftChars="200"/>
    </w:pPr>
    <w:rPr>
      <w:rFonts w:ascii="Times New Roman" w:hAnsi="Times New Roman" w:eastAsia="宋体" w:cs="Times New Roman"/>
      <w:sz w:val="16"/>
      <w:szCs w:val="16"/>
    </w:rPr>
  </w:style>
  <w:style w:type="paragraph" w:styleId="12">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uiPriority w:val="0"/>
    <w:rPr>
      <w:rFonts w:ascii="Times New Roman" w:hAnsi="Times New Roman" w:eastAsia="宋体" w:cs="Times New Roman"/>
      <w:sz w:val="18"/>
      <w:szCs w:val="18"/>
    </w:rPr>
  </w:style>
  <w:style w:type="character" w:customStyle="1" w:styleId="20">
    <w:name w:val="页眉 Char"/>
    <w:basedOn w:val="13"/>
    <w:link w:val="10"/>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qFormat/>
    <w:uiPriority w:val="0"/>
    <w:rPr>
      <w:rFonts w:ascii="Times New Roman" w:hAnsi="Times New Roman" w:eastAsia="宋体" w:cs="Times New Roman"/>
      <w:sz w:val="18"/>
      <w:szCs w:val="18"/>
    </w:rPr>
  </w:style>
  <w:style w:type="paragraph" w:customStyle="1" w:styleId="24">
    <w:name w:val="Char1"/>
    <w:basedOn w:val="1"/>
    <w:qFormat/>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qFormat/>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uiPriority w:val="0"/>
    <w:rPr>
      <w:rFonts w:ascii="仿宋_GB2312" w:hAnsi="Times New Roman" w:eastAsia="宋体" w:cs="Times New Roman"/>
      <w:color w:val="000000"/>
      <w:kern w:val="0"/>
      <w:szCs w:val="24"/>
    </w:rPr>
  </w:style>
  <w:style w:type="paragraph" w:customStyle="1" w:styleId="31">
    <w:name w:val="List Paragraph"/>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uiPriority w:val="99"/>
  </w:style>
  <w:style w:type="paragraph" w:customStyle="1" w:styleId="35">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9578B-6959-4036-B276-554A10F1F7BB}">
  <ds:schemaRefs/>
</ds:datastoreItem>
</file>

<file path=docProps/app.xml><?xml version="1.0" encoding="utf-8"?>
<Properties xmlns="http://schemas.openxmlformats.org/officeDocument/2006/extended-properties" xmlns:vt="http://schemas.openxmlformats.org/officeDocument/2006/docPropsVTypes">
  <Template>Normal</Template>
  <Pages>14</Pages>
  <Words>974</Words>
  <Characters>5558</Characters>
  <Lines>46</Lines>
  <Paragraphs>13</Paragraphs>
  <TotalTime>0</TotalTime>
  <ScaleCrop>false</ScaleCrop>
  <LinksUpToDate>false</LinksUpToDate>
  <CharactersWithSpaces>6519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2019-03-19T06:40:00Z</dcterms:created>
  <dc:creator>张嘉欢</dc:creator>
  <cp:lastModifiedBy>常孟园</cp:lastModifiedBy>
  <dcterms:modified xsi:type="dcterms:W3CDTF">2019-04-12T07:59:21Z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