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p>
    <w:p>
      <w:pPr>
        <w:spacing w:beforeLines="75"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beforeLines="75" w:line="360" w:lineRule="auto"/>
        <w:jc w:val="center"/>
        <w:rPr>
          <w:rFonts w:ascii="黑体" w:hAnsi="黑体" w:eastAsia="黑体"/>
          <w:sz w:val="36"/>
          <w:szCs w:val="36"/>
        </w:rPr>
      </w:pPr>
      <w:r>
        <w:rPr>
          <w:rFonts w:hint="eastAsia" w:ascii="黑体" w:hAnsi="华文中宋" w:eastAsia="黑体"/>
          <w:bCs/>
          <w:sz w:val="36"/>
          <w:szCs w:val="36"/>
        </w:rPr>
        <w:t>塑料购物</w:t>
      </w:r>
      <w:bookmarkStart w:id="1" w:name="_GoBack"/>
      <w:bookmarkEnd w:id="1"/>
      <w:r>
        <w:rPr>
          <w:rFonts w:hint="eastAsia" w:ascii="黑体" w:hAnsi="华文中宋" w:eastAsia="黑体"/>
          <w:bCs/>
          <w:sz w:val="36"/>
          <w:szCs w:val="36"/>
        </w:rPr>
        <w:t>袋（非食品接触用）</w:t>
      </w:r>
      <w:r>
        <w:rPr>
          <w:rFonts w:hint="eastAsia" w:ascii="黑体" w:hAnsi="黑体" w:eastAsia="黑体"/>
          <w:sz w:val="36"/>
          <w:szCs w:val="36"/>
        </w:rPr>
        <w:t>产品质量监督抽查实施规范</w:t>
      </w:r>
    </w:p>
    <w:p>
      <w:pPr>
        <w:spacing w:beforeLines="75" w:line="360" w:lineRule="auto"/>
        <w:jc w:val="center"/>
        <w:rPr>
          <w:rFonts w:ascii="黑体" w:hAnsi="黑体" w:eastAsia="黑体"/>
          <w:sz w:val="28"/>
        </w:rPr>
      </w:pPr>
      <w:r>
        <w:rPr>
          <w:rFonts w:hint="eastAsia" w:ascii="黑体" w:hAnsi="黑体" w:eastAsia="黑体"/>
          <w:sz w:val="28"/>
        </w:rPr>
        <w:t>编号</w:t>
      </w:r>
      <w:r>
        <w:rPr>
          <w:rFonts w:ascii="黑体" w:hAnsi="黑体" w:eastAsia="黑体"/>
          <w:sz w:val="28"/>
        </w:rPr>
        <w:t>：CCGF-SZ-</w:t>
      </w:r>
      <w:r>
        <w:rPr>
          <w:rFonts w:hint="eastAsia" w:ascii="黑体" w:hAnsi="黑体" w:eastAsia="黑体"/>
          <w:sz w:val="28"/>
        </w:rPr>
        <w:t>017</w:t>
      </w:r>
      <w:r>
        <w:rPr>
          <w:rFonts w:ascii="黑体" w:hAnsi="黑体" w:eastAsia="黑体"/>
          <w:sz w:val="28"/>
        </w:rPr>
        <w:t>-</w:t>
      </w:r>
      <w:r>
        <w:rPr>
          <w:rFonts w:hint="eastAsia" w:ascii="黑体" w:hAnsi="黑体" w:eastAsia="黑体"/>
          <w:sz w:val="28"/>
        </w:rPr>
        <w:t>2019</w:t>
      </w:r>
    </w:p>
    <w:p>
      <w:pPr>
        <w:spacing w:beforeLines="75" w:line="360" w:lineRule="auto"/>
        <w:jc w:val="center"/>
        <w:rPr>
          <w:rFonts w:ascii="黑体" w:hAnsi="黑体" w:eastAsia="黑体"/>
          <w:color w:val="FF0000"/>
          <w:sz w:val="28"/>
        </w:rPr>
      </w:pPr>
    </w:p>
    <w:p>
      <w:pPr>
        <w:snapToGrid w:val="0"/>
        <w:spacing w:line="360" w:lineRule="auto"/>
        <w:rPr>
          <w:rFonts w:ascii="宋体" w:hAnsi="宋体" w:eastAsia="宋体" w:cs="Times New Roman"/>
          <w:sz w:val="24"/>
        </w:rPr>
      </w:pPr>
    </w:p>
    <w:p>
      <w:pPr>
        <w:snapToGrid w:val="0"/>
        <w:spacing w:line="360" w:lineRule="auto"/>
        <w:rPr>
          <w:rFonts w:ascii="仿宋_GB2312" w:hAnsi="宋体" w:eastAsia="仿宋_GB2312" w:cs="Times New Roman"/>
          <w:b/>
          <w:szCs w:val="21"/>
        </w:rPr>
      </w:pP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1 适用范围</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本规范适用于深圳市生产及流通领域</w:t>
      </w:r>
      <w:r>
        <w:rPr>
          <w:rFonts w:hint="eastAsia" w:ascii="仿宋_GB2312" w:hAnsi="宋体" w:eastAsia="仿宋_GB2312"/>
          <w:sz w:val="28"/>
          <w:szCs w:val="28"/>
        </w:rPr>
        <w:t>塑料购物袋</w:t>
      </w:r>
      <w:r>
        <w:rPr>
          <w:rFonts w:hint="eastAsia" w:ascii="仿宋_GB2312" w:hAnsi="宋体" w:eastAsia="仿宋_GB2312" w:cs="Times New Roman"/>
          <w:sz w:val="28"/>
          <w:szCs w:val="28"/>
        </w:rPr>
        <w:t>产品质量监督抽查。监督抽查产品范围适用于：</w:t>
      </w:r>
      <w:r>
        <w:rPr>
          <w:rFonts w:hint="eastAsia" w:ascii="仿宋_GB2312" w:hAnsi="宋体" w:eastAsia="仿宋_GB2312"/>
          <w:sz w:val="28"/>
          <w:szCs w:val="28"/>
        </w:rPr>
        <w:t>塑料购物袋，但直接接触食品用塑料购物袋除外。</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2产品种类</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产品种类见表1。</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表1  产品种类</w:t>
      </w:r>
    </w:p>
    <w:tbl>
      <w:tblPr>
        <w:tblStyle w:val="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30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塑料购物袋</w:t>
            </w:r>
          </w:p>
        </w:tc>
        <w:tc>
          <w:tcPr>
            <w:tcW w:w="6305" w:type="dxa"/>
            <w:vAlign w:val="center"/>
          </w:tcPr>
          <w:p>
            <w:pPr>
              <w:snapToGrid w:val="0"/>
              <w:spacing w:line="360" w:lineRule="auto"/>
              <w:rPr>
                <w:rFonts w:ascii="仿宋_GB2312" w:hAnsi="宋体" w:eastAsia="仿宋_GB2312"/>
                <w:sz w:val="24"/>
              </w:rPr>
            </w:pPr>
            <w:r>
              <w:rPr>
                <w:rFonts w:hint="eastAsia" w:ascii="仿宋_GB2312" w:hAnsi="宋体" w:eastAsia="仿宋_GB2312"/>
                <w:sz w:val="24"/>
              </w:rPr>
              <w:t>以树脂为主要原料生产的薄膜、经热合或粘合等制袋工艺加工制得的塑料购物袋。不包括仅以包装使用且不以携提为目的塑料购物袋或塑料连卷袋及直接接触食品用塑料购物袋。</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3 术语和定义</w:t>
      </w:r>
    </w:p>
    <w:p>
      <w:pPr>
        <w:snapToGrid w:val="0"/>
        <w:spacing w:line="360" w:lineRule="auto"/>
        <w:ind w:firstLine="548" w:firstLineChars="196"/>
        <w:rPr>
          <w:rFonts w:ascii="仿宋_GB2312" w:hAnsi="宋体" w:eastAsia="仿宋_GB2312"/>
          <w:bCs/>
          <w:sz w:val="28"/>
          <w:szCs w:val="28"/>
        </w:rPr>
      </w:pPr>
      <w:r>
        <w:rPr>
          <w:rFonts w:hint="eastAsia" w:ascii="仿宋_GB2312" w:hAnsi="宋体" w:eastAsia="仿宋_GB2312"/>
          <w:sz w:val="28"/>
          <w:szCs w:val="28"/>
        </w:rPr>
        <w:t>塑料购物袋：</w:t>
      </w:r>
      <w:r>
        <w:rPr>
          <w:rFonts w:hint="eastAsia" w:ascii="仿宋_GB2312" w:hAnsi="宋体" w:eastAsia="仿宋_GB2312"/>
          <w:bCs/>
          <w:sz w:val="28"/>
          <w:szCs w:val="28"/>
        </w:rPr>
        <w:t>以树脂为主要原料制得的，在销售、服务等场所用于盛装及携提商品的袋制品。</w:t>
      </w:r>
    </w:p>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4 检验依据</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检验依据见表2。</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表2 检验依据</w:t>
      </w:r>
    </w:p>
    <w:tbl>
      <w:tblPr>
        <w:tblStyle w:val="3"/>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4407"/>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896"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标准号</w:t>
            </w:r>
          </w:p>
        </w:tc>
        <w:tc>
          <w:tcPr>
            <w:tcW w:w="4407"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标准名称</w:t>
            </w:r>
          </w:p>
        </w:tc>
        <w:tc>
          <w:tcPr>
            <w:tcW w:w="2786"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6" w:type="dxa"/>
            <w:shd w:val="clear" w:color="auto" w:fill="auto"/>
            <w:vAlign w:val="center"/>
          </w:tcPr>
          <w:p>
            <w:pPr>
              <w:snapToGrid w:val="0"/>
              <w:jc w:val="center"/>
              <w:rPr>
                <w:rFonts w:ascii="仿宋_GB2312" w:eastAsia="仿宋_GB2312"/>
                <w:sz w:val="24"/>
              </w:rPr>
            </w:pPr>
            <w:r>
              <w:rPr>
                <w:rFonts w:hint="eastAsia" w:ascii="仿宋_GB2312" w:eastAsia="仿宋_GB2312"/>
                <w:sz w:val="24"/>
              </w:rPr>
              <w:t>GB/T 21660-2008</w:t>
            </w:r>
          </w:p>
        </w:tc>
        <w:tc>
          <w:tcPr>
            <w:tcW w:w="4407" w:type="dxa"/>
            <w:shd w:val="clear" w:color="auto" w:fill="auto"/>
            <w:vAlign w:val="center"/>
          </w:tcPr>
          <w:p>
            <w:pPr>
              <w:snapToGrid w:val="0"/>
              <w:jc w:val="center"/>
              <w:rPr>
                <w:rFonts w:ascii="仿宋_GB2312" w:eastAsia="仿宋_GB2312"/>
                <w:sz w:val="24"/>
              </w:rPr>
            </w:pPr>
            <w:r>
              <w:rPr>
                <w:rFonts w:hint="eastAsia" w:ascii="仿宋_GB2312" w:eastAsia="仿宋_GB2312"/>
                <w:sz w:val="24"/>
              </w:rPr>
              <w:t>《塑料购物袋的环保、安全和标识  通用技术要求》</w:t>
            </w:r>
          </w:p>
        </w:tc>
        <w:tc>
          <w:tcPr>
            <w:tcW w:w="2786" w:type="dxa"/>
            <w:shd w:val="clear" w:color="auto" w:fill="auto"/>
            <w:vAlign w:val="center"/>
          </w:tcPr>
          <w:p>
            <w:pPr>
              <w:snapToGrid w:val="0"/>
              <w:jc w:val="center"/>
              <w:rPr>
                <w:rFonts w:ascii="仿宋_GB2312" w:eastAsia="仿宋_GB2312"/>
                <w:sz w:val="24"/>
              </w:rPr>
            </w:pPr>
            <w:r>
              <w:rPr>
                <w:rFonts w:hint="eastAsia" w:ascii="仿宋_GB2312" w:eastAsia="仿宋_GB2312"/>
                <w:sz w:val="24"/>
              </w:rPr>
              <w:sym w:font="Wingdings 2" w:char="F052"/>
            </w:r>
            <w:r>
              <w:rPr>
                <w:rFonts w:hint="eastAsia" w:ascii="仿宋_GB2312" w:hAnsi="宋体" w:eastAsia="仿宋_GB2312"/>
                <w:sz w:val="24"/>
              </w:rPr>
              <w:t xml:space="preserve">CMA  </w:t>
            </w:r>
            <w:r>
              <w:rPr>
                <w:rFonts w:hint="eastAsia" w:ascii="仿宋_GB2312" w:eastAsia="仿宋_GB2312"/>
                <w:sz w:val="24"/>
              </w:rPr>
              <w:sym w:font="Wingdings 2" w:char="F052"/>
            </w:r>
            <w:r>
              <w:rPr>
                <w:rFonts w:hint="eastAsia" w:ascii="仿宋_GB2312" w:hAnsi="宋体" w:eastAsia="仿宋_GB2312"/>
                <w:sz w:val="24"/>
              </w:rPr>
              <w:t xml:space="preserve">CAL </w:t>
            </w:r>
            <w:r>
              <w:rPr>
                <w:rFonts w:hint="eastAsia" w:ascii="仿宋_GB2312"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6" w:type="dxa"/>
            <w:shd w:val="clear" w:color="auto" w:fill="auto"/>
            <w:vAlign w:val="center"/>
          </w:tcPr>
          <w:p>
            <w:pPr>
              <w:snapToGrid w:val="0"/>
              <w:jc w:val="center"/>
              <w:rPr>
                <w:rFonts w:ascii="仿宋_GB2312" w:eastAsia="仿宋_GB2312"/>
                <w:sz w:val="24"/>
              </w:rPr>
            </w:pPr>
            <w:r>
              <w:rPr>
                <w:rFonts w:hint="eastAsia" w:ascii="仿宋_GB2312" w:eastAsia="仿宋_GB2312"/>
                <w:sz w:val="24"/>
              </w:rPr>
              <w:t xml:space="preserve">GB/T 21661-2008 </w:t>
            </w:r>
          </w:p>
        </w:tc>
        <w:tc>
          <w:tcPr>
            <w:tcW w:w="4407" w:type="dxa"/>
            <w:shd w:val="clear" w:color="auto" w:fill="auto"/>
            <w:vAlign w:val="center"/>
          </w:tcPr>
          <w:p>
            <w:pPr>
              <w:snapToGrid w:val="0"/>
              <w:jc w:val="center"/>
              <w:rPr>
                <w:rFonts w:ascii="仿宋_GB2312" w:eastAsia="仿宋_GB2312"/>
                <w:sz w:val="24"/>
              </w:rPr>
            </w:pPr>
            <w:r>
              <w:rPr>
                <w:rFonts w:hint="eastAsia" w:ascii="仿宋_GB2312" w:eastAsia="仿宋_GB2312"/>
                <w:sz w:val="24"/>
              </w:rPr>
              <w:t>《塑料购物袋》</w:t>
            </w:r>
          </w:p>
        </w:tc>
        <w:tc>
          <w:tcPr>
            <w:tcW w:w="2786" w:type="dxa"/>
            <w:shd w:val="clear" w:color="auto" w:fill="auto"/>
            <w:vAlign w:val="center"/>
          </w:tcPr>
          <w:p>
            <w:pPr>
              <w:snapToGrid w:val="0"/>
              <w:jc w:val="center"/>
              <w:rPr>
                <w:rFonts w:ascii="仿宋_GB2312" w:eastAsia="仿宋_GB2312"/>
                <w:sz w:val="24"/>
              </w:rPr>
            </w:pPr>
            <w:r>
              <w:rPr>
                <w:rFonts w:hint="eastAsia" w:ascii="仿宋_GB2312" w:eastAsia="仿宋_GB2312"/>
                <w:sz w:val="24"/>
              </w:rPr>
              <w:sym w:font="Wingdings 2" w:char="F052"/>
            </w:r>
            <w:r>
              <w:rPr>
                <w:rFonts w:hint="eastAsia" w:ascii="仿宋_GB2312" w:hAnsi="宋体" w:eastAsia="仿宋_GB2312"/>
                <w:sz w:val="24"/>
              </w:rPr>
              <w:t xml:space="preserve">CMA  </w:t>
            </w:r>
            <w:r>
              <w:rPr>
                <w:rFonts w:hint="eastAsia" w:ascii="仿宋_GB2312" w:eastAsia="仿宋_GB2312"/>
                <w:sz w:val="24"/>
              </w:rPr>
              <w:sym w:font="Wingdings 2" w:char="F052"/>
            </w:r>
            <w:r>
              <w:rPr>
                <w:rFonts w:hint="eastAsia" w:ascii="仿宋_GB2312" w:hAnsi="宋体" w:eastAsia="仿宋_GB2312"/>
                <w:sz w:val="24"/>
              </w:rPr>
              <w:t xml:space="preserve">CAL </w:t>
            </w:r>
            <w:r>
              <w:rPr>
                <w:rFonts w:hint="eastAsia" w:ascii="仿宋_GB2312" w:eastAsia="仿宋_GB2312"/>
                <w:sz w:val="24"/>
              </w:rPr>
              <w:sym w:font="Wingdings 2" w:char="F052"/>
            </w:r>
            <w:r>
              <w:rPr>
                <w:rFonts w:hint="eastAsia" w:ascii="仿宋_GB2312" w:hAnsi="宋体" w:eastAsia="仿宋_GB2312"/>
                <w:sz w:val="24"/>
              </w:rPr>
              <w:t>CNAS</w:t>
            </w:r>
          </w:p>
        </w:tc>
      </w:tr>
    </w:tbl>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相关的产品强制性标准、行业标准、政府法规及产品的明示标准（包括备案的企业标准）和明示担保内容。</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 抽样</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5.1 抽样型号或规格</w:t>
      </w:r>
    </w:p>
    <w:p>
      <w:pPr>
        <w:snapToGrid w:val="0"/>
        <w:spacing w:line="360" w:lineRule="auto"/>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抽取样品须为同一型号规格，同一批次的产品。</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5.2 抽样方法</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5.3 抽样基数</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在生产企业和市场上抽样时，抽样基数应不少于抽取样品量。</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5.4 抽样数量</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生产领域：随机抽取同一规格型号的</w:t>
      </w:r>
      <w:bookmarkStart w:id="0" w:name="OLE_LINK51"/>
      <w:r>
        <w:rPr>
          <w:rFonts w:hint="eastAsia" w:ascii="仿宋_GB2312" w:hAnsi="宋体" w:eastAsia="仿宋_GB2312" w:cs="Times New Roman"/>
          <w:sz w:val="28"/>
          <w:szCs w:val="28"/>
        </w:rPr>
        <w:t>50个样品，25个作为检验样品带回承检机构，</w:t>
      </w:r>
      <w:bookmarkEnd w:id="0"/>
      <w:r>
        <w:rPr>
          <w:rFonts w:hint="eastAsia" w:ascii="仿宋_GB2312" w:hAnsi="宋体" w:eastAsia="仿宋_GB2312" w:cs="Times New Roman"/>
          <w:sz w:val="28"/>
          <w:szCs w:val="28"/>
        </w:rPr>
        <w:t>25个作为备用样品封存于承检机构；</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流通领域（实体店）：随机抽取同一规格型号的50个样品，25个作为检验样品带回承检机构，25个作为备用样品封存于受检单位。</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流通领域（网络交易平台）：随机抽取同一规格型号的50个样品，25个作为检验样品带回承检机构，25个作为备用样品封存于承检机构。</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5.5 样品处置</w:t>
      </w:r>
    </w:p>
    <w:p>
      <w:pPr>
        <w:spacing w:line="360" w:lineRule="auto"/>
        <w:rPr>
          <w:rFonts w:ascii="仿宋_GB2312" w:hAnsi="宋体" w:eastAsia="仿宋_GB2312" w:cs="Times New Roman"/>
          <w:sz w:val="28"/>
          <w:szCs w:val="28"/>
        </w:rPr>
      </w:pPr>
      <w:r>
        <w:rPr>
          <w:rFonts w:hint="eastAsia" w:ascii="仿宋_GB2312" w:hAnsi="ˎ̥" w:eastAsia="仿宋_GB2312" w:cs="Times New Roman"/>
          <w:b/>
          <w:sz w:val="28"/>
          <w:szCs w:val="28"/>
        </w:rPr>
        <w:t>5.5.1</w:t>
      </w:r>
      <w:r>
        <w:rPr>
          <w:rFonts w:hint="eastAsia" w:ascii="仿宋_GB2312" w:hAnsi="宋体" w:eastAsia="仿宋_GB2312" w:cs="Times New Roman"/>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sz w:val="28"/>
          <w:szCs w:val="28"/>
        </w:rPr>
      </w:pPr>
      <w:r>
        <w:rPr>
          <w:rFonts w:hint="eastAsia" w:ascii="仿宋_GB2312" w:hAnsi="宋体" w:eastAsia="仿宋_GB2312" w:cs="Times New Roman"/>
          <w:b/>
          <w:sz w:val="28"/>
          <w:szCs w:val="28"/>
        </w:rPr>
        <w:t>5.5.2</w:t>
      </w:r>
      <w:r>
        <w:rPr>
          <w:rFonts w:hint="eastAsia" w:ascii="仿宋_GB2312" w:hAnsi="Calibri" w:eastAsia="仿宋_GB2312" w:cs="Times New Roman"/>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5.6 抽样单</w:t>
      </w:r>
    </w:p>
    <w:p>
      <w:pPr>
        <w:snapToGrid w:val="0"/>
        <w:spacing w:line="360" w:lineRule="auto"/>
        <w:ind w:firstLine="537" w:firstLineChars="192"/>
        <w:rPr>
          <w:rFonts w:ascii="仿宋_GB2312" w:hAnsi="Calibri" w:eastAsia="仿宋_GB2312" w:cs="Sim Sun"/>
          <w:kern w:val="0"/>
          <w:sz w:val="28"/>
          <w:szCs w:val="28"/>
        </w:rPr>
      </w:pPr>
      <w:r>
        <w:rPr>
          <w:rFonts w:hint="eastAsia" w:ascii="仿宋_GB2312" w:hAnsi="宋体" w:eastAsia="仿宋_GB2312" w:cs="Times New Roman"/>
          <w:sz w:val="28"/>
          <w:szCs w:val="28"/>
        </w:rPr>
        <w:t>应按有关规定填写抽样单，并记录被抽查产品及企业相关信息。</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 检验要求</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6.1 检验项目</w:t>
      </w:r>
    </w:p>
    <w:tbl>
      <w:tblPr>
        <w:tblStyle w:val="3"/>
        <w:tblW w:w="93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10"/>
        <w:gridCol w:w="1841"/>
        <w:gridCol w:w="2123"/>
        <w:gridCol w:w="1273"/>
        <w:gridCol w:w="1985"/>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572"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序号</w:t>
            </w:r>
          </w:p>
        </w:tc>
        <w:tc>
          <w:tcPr>
            <w:tcW w:w="2551" w:type="dxa"/>
            <w:gridSpan w:val="2"/>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检验项目</w:t>
            </w:r>
          </w:p>
        </w:tc>
        <w:tc>
          <w:tcPr>
            <w:tcW w:w="2123"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检测依据</w:t>
            </w:r>
          </w:p>
        </w:tc>
        <w:tc>
          <w:tcPr>
            <w:tcW w:w="1273"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项目性质</w:t>
            </w:r>
          </w:p>
        </w:tc>
        <w:tc>
          <w:tcPr>
            <w:tcW w:w="1985"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检测方法</w:t>
            </w:r>
          </w:p>
        </w:tc>
        <w:tc>
          <w:tcPr>
            <w:tcW w:w="858"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72"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1</w:t>
            </w:r>
          </w:p>
        </w:tc>
        <w:tc>
          <w:tcPr>
            <w:tcW w:w="2551" w:type="dxa"/>
            <w:gridSpan w:val="2"/>
            <w:vAlign w:val="center"/>
          </w:tcPr>
          <w:p>
            <w:pPr>
              <w:spacing w:line="400" w:lineRule="exact"/>
              <w:jc w:val="center"/>
              <w:rPr>
                <w:rFonts w:ascii="仿宋_GB2312" w:hAnsi="宋体" w:eastAsia="仿宋_GB2312"/>
                <w:sz w:val="24"/>
              </w:rPr>
            </w:pPr>
            <w:r>
              <w:rPr>
                <w:rFonts w:hint="eastAsia" w:ascii="仿宋_GB2312" w:hAnsi="宋体" w:eastAsia="仿宋_GB2312"/>
                <w:sz w:val="24"/>
              </w:rPr>
              <w:t>厚度</w:t>
            </w:r>
          </w:p>
        </w:tc>
        <w:tc>
          <w:tcPr>
            <w:tcW w:w="2123"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《产业结构调整指导目录（2011年本）》</w:t>
            </w:r>
          </w:p>
        </w:tc>
        <w:tc>
          <w:tcPr>
            <w:tcW w:w="1273"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强制性</w:t>
            </w:r>
          </w:p>
        </w:tc>
        <w:tc>
          <w:tcPr>
            <w:tcW w:w="1985" w:type="dxa"/>
            <w:vAlign w:val="center"/>
          </w:tcPr>
          <w:p>
            <w:pPr>
              <w:spacing w:line="400" w:lineRule="exact"/>
              <w:jc w:val="center"/>
              <w:rPr>
                <w:rFonts w:ascii="仿宋_GB2312" w:hAnsi="宋体" w:eastAsia="仿宋_GB2312"/>
                <w:sz w:val="24"/>
              </w:rPr>
            </w:pPr>
            <w:r>
              <w:rPr>
                <w:rFonts w:ascii="仿宋_GB2312" w:hAnsi="宋体" w:eastAsia="仿宋_GB2312"/>
                <w:sz w:val="24"/>
              </w:rPr>
              <w:t>GB</w:t>
            </w:r>
            <w:r>
              <w:rPr>
                <w:rFonts w:hint="eastAsia" w:ascii="仿宋_GB2312" w:hAnsi="宋体" w:eastAsia="仿宋_GB2312"/>
                <w:sz w:val="24"/>
              </w:rPr>
              <w:t>/T 21661</w:t>
            </w:r>
            <w:r>
              <w:rPr>
                <w:rFonts w:ascii="仿宋_GB2312" w:hAnsi="宋体" w:eastAsia="仿宋_GB2312"/>
                <w:sz w:val="24"/>
              </w:rPr>
              <w:t xml:space="preserve"> 4.2.1</w:t>
            </w:r>
          </w:p>
        </w:tc>
        <w:tc>
          <w:tcPr>
            <w:tcW w:w="858"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72" w:type="dxa"/>
            <w:vMerge w:val="restart"/>
            <w:vAlign w:val="center"/>
          </w:tcPr>
          <w:p>
            <w:pPr>
              <w:spacing w:line="320" w:lineRule="exact"/>
              <w:jc w:val="center"/>
              <w:rPr>
                <w:rFonts w:ascii="仿宋_GB2312" w:hAnsi="宋体" w:eastAsia="仿宋_GB2312"/>
                <w:sz w:val="24"/>
              </w:rPr>
            </w:pPr>
            <w:r>
              <w:rPr>
                <w:rFonts w:hint="eastAsia" w:ascii="仿宋_GB2312" w:hAnsi="宋体" w:eastAsia="仿宋_GB2312"/>
                <w:sz w:val="24"/>
              </w:rPr>
              <w:t>2</w:t>
            </w:r>
          </w:p>
        </w:tc>
        <w:tc>
          <w:tcPr>
            <w:tcW w:w="710" w:type="dxa"/>
            <w:vMerge w:val="restart"/>
            <w:vAlign w:val="center"/>
          </w:tcPr>
          <w:p>
            <w:pPr>
              <w:spacing w:line="400" w:lineRule="exact"/>
              <w:jc w:val="center"/>
              <w:rPr>
                <w:rFonts w:ascii="仿宋_GB2312" w:hAnsi="宋体" w:eastAsia="仿宋_GB2312"/>
                <w:sz w:val="24"/>
              </w:rPr>
            </w:pPr>
            <w:r>
              <w:rPr>
                <w:rFonts w:hint="eastAsia" w:ascii="仿宋_GB2312" w:hAnsi="宋体" w:eastAsia="仿宋_GB2312"/>
                <w:sz w:val="24"/>
              </w:rPr>
              <w:t>标志</w:t>
            </w:r>
          </w:p>
        </w:tc>
        <w:tc>
          <w:tcPr>
            <w:tcW w:w="1841"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名称</w:t>
            </w:r>
          </w:p>
        </w:tc>
        <w:tc>
          <w:tcPr>
            <w:tcW w:w="2123" w:type="dxa"/>
            <w:vMerge w:val="restart"/>
            <w:vAlign w:val="center"/>
          </w:tcPr>
          <w:p>
            <w:pPr>
              <w:spacing w:line="400" w:lineRule="exact"/>
              <w:jc w:val="center"/>
              <w:rPr>
                <w:rFonts w:ascii="仿宋_GB2312" w:hAnsi="宋体" w:eastAsia="仿宋_GB2312"/>
                <w:sz w:val="24"/>
              </w:rPr>
            </w:pPr>
            <w:r>
              <w:rPr>
                <w:rFonts w:ascii="仿宋_GB2312" w:hAnsi="宋体" w:eastAsia="仿宋_GB2312"/>
                <w:sz w:val="24"/>
              </w:rPr>
              <w:t>明示GB</w:t>
            </w:r>
            <w:r>
              <w:rPr>
                <w:rFonts w:hint="eastAsia" w:ascii="仿宋_GB2312" w:hAnsi="宋体" w:eastAsia="仿宋_GB2312"/>
                <w:sz w:val="24"/>
              </w:rPr>
              <w:t>/T 21661</w:t>
            </w:r>
            <w:r>
              <w:rPr>
                <w:rFonts w:ascii="仿宋_GB2312" w:hAnsi="宋体" w:eastAsia="仿宋_GB2312"/>
                <w:sz w:val="24"/>
              </w:rPr>
              <w:t xml:space="preserve"> 4.1或企业标准</w:t>
            </w:r>
          </w:p>
        </w:tc>
        <w:tc>
          <w:tcPr>
            <w:tcW w:w="1273" w:type="dxa"/>
            <w:vMerge w:val="restart"/>
            <w:vAlign w:val="center"/>
          </w:tcPr>
          <w:p>
            <w:pPr>
              <w:spacing w:line="320" w:lineRule="exact"/>
              <w:jc w:val="center"/>
              <w:rPr>
                <w:rFonts w:ascii="仿宋_GB2312" w:hAnsi="宋体" w:eastAsia="仿宋_GB2312"/>
                <w:sz w:val="24"/>
              </w:rPr>
            </w:pPr>
            <w:r>
              <w:rPr>
                <w:rFonts w:hint="eastAsia" w:ascii="仿宋_GB2312" w:hAnsi="宋体" w:eastAsia="仿宋_GB2312"/>
                <w:sz w:val="24"/>
              </w:rPr>
              <w:t>强制性</w:t>
            </w:r>
          </w:p>
        </w:tc>
        <w:tc>
          <w:tcPr>
            <w:tcW w:w="1985" w:type="dxa"/>
            <w:vAlign w:val="center"/>
          </w:tcPr>
          <w:p>
            <w:pPr>
              <w:spacing w:line="400" w:lineRule="exact"/>
              <w:jc w:val="center"/>
              <w:rPr>
                <w:rFonts w:ascii="仿宋_GB2312" w:hAnsi="宋体" w:eastAsia="仿宋_GB2312"/>
                <w:sz w:val="24"/>
              </w:rPr>
            </w:pPr>
            <w:r>
              <w:rPr>
                <w:rFonts w:ascii="仿宋_GB2312" w:hAnsi="宋体" w:eastAsia="仿宋_GB2312"/>
                <w:sz w:val="24"/>
              </w:rPr>
              <w:t>GB</w:t>
            </w:r>
            <w:r>
              <w:rPr>
                <w:rFonts w:hint="eastAsia" w:ascii="仿宋_GB2312" w:hAnsi="宋体" w:eastAsia="仿宋_GB2312"/>
                <w:sz w:val="24"/>
              </w:rPr>
              <w:t>/T 2166</w:t>
            </w:r>
            <w:r>
              <w:rPr>
                <w:rFonts w:ascii="仿宋_GB2312" w:hAnsi="宋体" w:eastAsia="仿宋_GB2312"/>
                <w:sz w:val="24"/>
              </w:rPr>
              <w:t>0 6.1.2</w:t>
            </w:r>
          </w:p>
        </w:tc>
        <w:tc>
          <w:tcPr>
            <w:tcW w:w="858" w:type="dxa"/>
            <w:vMerge w:val="restart"/>
            <w:vAlign w:val="center"/>
          </w:tcPr>
          <w:p>
            <w:pPr>
              <w:spacing w:line="320" w:lineRule="exact"/>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72" w:type="dxa"/>
            <w:vMerge w:val="continue"/>
            <w:vAlign w:val="center"/>
          </w:tcPr>
          <w:p>
            <w:pPr>
              <w:spacing w:line="320" w:lineRule="exact"/>
              <w:jc w:val="center"/>
              <w:rPr>
                <w:rFonts w:ascii="仿宋_GB2312" w:hAnsi="宋体" w:eastAsia="仿宋_GB2312"/>
                <w:sz w:val="24"/>
              </w:rPr>
            </w:pPr>
          </w:p>
        </w:tc>
        <w:tc>
          <w:tcPr>
            <w:tcW w:w="710" w:type="dxa"/>
            <w:vMerge w:val="continue"/>
            <w:vAlign w:val="center"/>
          </w:tcPr>
          <w:p>
            <w:pPr>
              <w:spacing w:line="400" w:lineRule="exact"/>
              <w:jc w:val="center"/>
              <w:rPr>
                <w:rFonts w:ascii="仿宋_GB2312" w:hAnsi="宋体" w:eastAsia="仿宋_GB2312"/>
                <w:sz w:val="24"/>
              </w:rPr>
            </w:pPr>
          </w:p>
        </w:tc>
        <w:tc>
          <w:tcPr>
            <w:tcW w:w="1841"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公称承重</w:t>
            </w:r>
          </w:p>
        </w:tc>
        <w:tc>
          <w:tcPr>
            <w:tcW w:w="2123" w:type="dxa"/>
            <w:vMerge w:val="continue"/>
            <w:vAlign w:val="center"/>
          </w:tcPr>
          <w:p>
            <w:pPr>
              <w:spacing w:line="400" w:lineRule="exact"/>
              <w:jc w:val="center"/>
              <w:rPr>
                <w:rFonts w:ascii="仿宋_GB2312" w:hAnsi="宋体" w:eastAsia="仿宋_GB2312"/>
                <w:sz w:val="24"/>
              </w:rPr>
            </w:pPr>
          </w:p>
        </w:tc>
        <w:tc>
          <w:tcPr>
            <w:tcW w:w="1273" w:type="dxa"/>
            <w:vMerge w:val="continue"/>
            <w:vAlign w:val="center"/>
          </w:tcPr>
          <w:p>
            <w:pPr>
              <w:spacing w:line="320" w:lineRule="exact"/>
              <w:jc w:val="center"/>
              <w:rPr>
                <w:rFonts w:ascii="仿宋_GB2312" w:hAnsi="宋体" w:eastAsia="仿宋_GB2312"/>
                <w:sz w:val="24"/>
              </w:rPr>
            </w:pPr>
          </w:p>
        </w:tc>
        <w:tc>
          <w:tcPr>
            <w:tcW w:w="1985" w:type="dxa"/>
            <w:vAlign w:val="center"/>
          </w:tcPr>
          <w:p>
            <w:pPr>
              <w:spacing w:line="400" w:lineRule="exact"/>
              <w:jc w:val="center"/>
              <w:rPr>
                <w:rFonts w:ascii="仿宋_GB2312" w:hAnsi="宋体" w:eastAsia="仿宋_GB2312"/>
                <w:sz w:val="24"/>
              </w:rPr>
            </w:pPr>
            <w:r>
              <w:rPr>
                <w:rFonts w:ascii="仿宋_GB2312" w:hAnsi="宋体" w:eastAsia="仿宋_GB2312"/>
                <w:sz w:val="24"/>
              </w:rPr>
              <w:t>GB</w:t>
            </w:r>
            <w:r>
              <w:rPr>
                <w:rFonts w:hint="eastAsia" w:ascii="仿宋_GB2312" w:hAnsi="宋体" w:eastAsia="仿宋_GB2312"/>
                <w:sz w:val="24"/>
              </w:rPr>
              <w:t>/T 2166</w:t>
            </w:r>
            <w:r>
              <w:rPr>
                <w:rFonts w:ascii="仿宋_GB2312" w:hAnsi="宋体" w:eastAsia="仿宋_GB2312"/>
                <w:sz w:val="24"/>
              </w:rPr>
              <w:t>0 6.1.5</w:t>
            </w:r>
          </w:p>
        </w:tc>
        <w:tc>
          <w:tcPr>
            <w:tcW w:w="858" w:type="dxa"/>
            <w:vMerge w:val="continue"/>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72" w:type="dxa"/>
            <w:vMerge w:val="continue"/>
            <w:vAlign w:val="center"/>
          </w:tcPr>
          <w:p>
            <w:pPr>
              <w:spacing w:line="320" w:lineRule="exact"/>
              <w:jc w:val="center"/>
              <w:rPr>
                <w:rFonts w:ascii="仿宋_GB2312" w:hAnsi="宋体" w:eastAsia="仿宋_GB2312"/>
                <w:sz w:val="24"/>
              </w:rPr>
            </w:pPr>
          </w:p>
        </w:tc>
        <w:tc>
          <w:tcPr>
            <w:tcW w:w="710" w:type="dxa"/>
            <w:vMerge w:val="continue"/>
            <w:vAlign w:val="center"/>
          </w:tcPr>
          <w:p>
            <w:pPr>
              <w:spacing w:line="400" w:lineRule="exact"/>
              <w:jc w:val="center"/>
              <w:rPr>
                <w:rFonts w:ascii="仿宋_GB2312" w:hAnsi="宋体" w:eastAsia="仿宋_GB2312"/>
                <w:sz w:val="24"/>
              </w:rPr>
            </w:pPr>
          </w:p>
        </w:tc>
        <w:tc>
          <w:tcPr>
            <w:tcW w:w="1841"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标志</w:t>
            </w:r>
          </w:p>
        </w:tc>
        <w:tc>
          <w:tcPr>
            <w:tcW w:w="2123" w:type="dxa"/>
            <w:vMerge w:val="continue"/>
            <w:vAlign w:val="center"/>
          </w:tcPr>
          <w:p>
            <w:pPr>
              <w:spacing w:line="400" w:lineRule="exact"/>
              <w:jc w:val="center"/>
              <w:rPr>
                <w:rFonts w:ascii="仿宋_GB2312" w:hAnsi="宋体" w:eastAsia="仿宋_GB2312"/>
                <w:sz w:val="24"/>
              </w:rPr>
            </w:pPr>
          </w:p>
        </w:tc>
        <w:tc>
          <w:tcPr>
            <w:tcW w:w="1273" w:type="dxa"/>
            <w:vMerge w:val="continue"/>
            <w:vAlign w:val="center"/>
          </w:tcPr>
          <w:p>
            <w:pPr>
              <w:spacing w:line="320" w:lineRule="exact"/>
              <w:jc w:val="center"/>
              <w:rPr>
                <w:rFonts w:ascii="仿宋_GB2312" w:hAnsi="宋体" w:eastAsia="仿宋_GB2312"/>
                <w:sz w:val="24"/>
              </w:rPr>
            </w:pPr>
          </w:p>
        </w:tc>
        <w:tc>
          <w:tcPr>
            <w:tcW w:w="1985" w:type="dxa"/>
            <w:vAlign w:val="center"/>
          </w:tcPr>
          <w:p>
            <w:pPr>
              <w:spacing w:line="400" w:lineRule="exact"/>
              <w:jc w:val="center"/>
              <w:rPr>
                <w:rFonts w:ascii="仿宋_GB2312" w:hAnsi="宋体" w:eastAsia="仿宋_GB2312"/>
                <w:sz w:val="24"/>
              </w:rPr>
            </w:pPr>
            <w:r>
              <w:rPr>
                <w:rFonts w:ascii="仿宋_GB2312" w:hAnsi="宋体" w:eastAsia="仿宋_GB2312"/>
                <w:sz w:val="24"/>
              </w:rPr>
              <w:t>GB</w:t>
            </w:r>
            <w:r>
              <w:rPr>
                <w:rFonts w:hint="eastAsia" w:ascii="仿宋_GB2312" w:hAnsi="宋体" w:eastAsia="仿宋_GB2312"/>
                <w:sz w:val="24"/>
              </w:rPr>
              <w:t>/T 2166</w:t>
            </w:r>
            <w:r>
              <w:rPr>
                <w:rFonts w:ascii="仿宋_GB2312" w:hAnsi="宋体" w:eastAsia="仿宋_GB2312"/>
                <w:sz w:val="24"/>
              </w:rPr>
              <w:t>0 6.2</w:t>
            </w:r>
          </w:p>
        </w:tc>
        <w:tc>
          <w:tcPr>
            <w:tcW w:w="858" w:type="dxa"/>
            <w:vMerge w:val="continue"/>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72" w:type="dxa"/>
            <w:vMerge w:val="continue"/>
            <w:vAlign w:val="center"/>
          </w:tcPr>
          <w:p>
            <w:pPr>
              <w:spacing w:line="320" w:lineRule="exact"/>
              <w:jc w:val="center"/>
              <w:rPr>
                <w:rFonts w:ascii="仿宋_GB2312" w:hAnsi="宋体" w:eastAsia="仿宋_GB2312"/>
                <w:sz w:val="24"/>
              </w:rPr>
            </w:pPr>
          </w:p>
        </w:tc>
        <w:tc>
          <w:tcPr>
            <w:tcW w:w="710" w:type="dxa"/>
            <w:vMerge w:val="continue"/>
            <w:vAlign w:val="center"/>
          </w:tcPr>
          <w:p>
            <w:pPr>
              <w:spacing w:line="400" w:lineRule="exact"/>
              <w:jc w:val="center"/>
              <w:rPr>
                <w:rFonts w:ascii="仿宋_GB2312" w:hAnsi="宋体" w:eastAsia="仿宋_GB2312"/>
                <w:sz w:val="24"/>
              </w:rPr>
            </w:pPr>
          </w:p>
        </w:tc>
        <w:tc>
          <w:tcPr>
            <w:tcW w:w="1841"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生产厂家</w:t>
            </w:r>
          </w:p>
        </w:tc>
        <w:tc>
          <w:tcPr>
            <w:tcW w:w="2123" w:type="dxa"/>
            <w:vMerge w:val="continue"/>
            <w:vAlign w:val="center"/>
          </w:tcPr>
          <w:p>
            <w:pPr>
              <w:spacing w:line="400" w:lineRule="exact"/>
              <w:jc w:val="center"/>
              <w:rPr>
                <w:rFonts w:ascii="仿宋_GB2312" w:hAnsi="宋体" w:eastAsia="仿宋_GB2312"/>
                <w:sz w:val="24"/>
              </w:rPr>
            </w:pPr>
          </w:p>
        </w:tc>
        <w:tc>
          <w:tcPr>
            <w:tcW w:w="1273" w:type="dxa"/>
            <w:vMerge w:val="continue"/>
            <w:vAlign w:val="center"/>
          </w:tcPr>
          <w:p>
            <w:pPr>
              <w:spacing w:line="320" w:lineRule="exact"/>
              <w:jc w:val="center"/>
              <w:rPr>
                <w:rFonts w:ascii="仿宋_GB2312" w:hAnsi="宋体" w:eastAsia="仿宋_GB2312"/>
                <w:sz w:val="24"/>
              </w:rPr>
            </w:pPr>
          </w:p>
        </w:tc>
        <w:tc>
          <w:tcPr>
            <w:tcW w:w="1985" w:type="dxa"/>
            <w:vAlign w:val="center"/>
          </w:tcPr>
          <w:p>
            <w:pPr>
              <w:spacing w:line="400" w:lineRule="exact"/>
              <w:jc w:val="center"/>
              <w:rPr>
                <w:rFonts w:ascii="仿宋_GB2312" w:hAnsi="宋体" w:eastAsia="仿宋_GB2312"/>
                <w:sz w:val="24"/>
              </w:rPr>
            </w:pPr>
            <w:r>
              <w:rPr>
                <w:rFonts w:ascii="仿宋_GB2312" w:hAnsi="宋体" w:eastAsia="仿宋_GB2312"/>
                <w:sz w:val="24"/>
              </w:rPr>
              <w:t>GB</w:t>
            </w:r>
            <w:r>
              <w:rPr>
                <w:rFonts w:hint="eastAsia" w:ascii="仿宋_GB2312" w:hAnsi="宋体" w:eastAsia="仿宋_GB2312"/>
                <w:sz w:val="24"/>
              </w:rPr>
              <w:t>/T 2166</w:t>
            </w:r>
            <w:r>
              <w:rPr>
                <w:rFonts w:ascii="仿宋_GB2312" w:hAnsi="宋体" w:eastAsia="仿宋_GB2312"/>
                <w:sz w:val="24"/>
              </w:rPr>
              <w:t>0 6.7</w:t>
            </w:r>
          </w:p>
        </w:tc>
        <w:tc>
          <w:tcPr>
            <w:tcW w:w="858" w:type="dxa"/>
            <w:vMerge w:val="continue"/>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72"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3</w:t>
            </w:r>
          </w:p>
        </w:tc>
        <w:tc>
          <w:tcPr>
            <w:tcW w:w="2551" w:type="dxa"/>
            <w:gridSpan w:val="2"/>
            <w:vAlign w:val="center"/>
          </w:tcPr>
          <w:p>
            <w:pPr>
              <w:spacing w:line="400" w:lineRule="exact"/>
              <w:jc w:val="center"/>
              <w:rPr>
                <w:rFonts w:ascii="仿宋_GB2312" w:hAnsi="宋体" w:eastAsia="仿宋_GB2312"/>
                <w:sz w:val="24"/>
              </w:rPr>
            </w:pPr>
            <w:r>
              <w:rPr>
                <w:rFonts w:hint="eastAsia" w:ascii="仿宋_GB2312" w:hAnsi="宋体" w:eastAsia="仿宋_GB2312"/>
                <w:sz w:val="24"/>
              </w:rPr>
              <w:t>提吊试验</w:t>
            </w:r>
          </w:p>
        </w:tc>
        <w:tc>
          <w:tcPr>
            <w:tcW w:w="2123" w:type="dxa"/>
            <w:vAlign w:val="center"/>
          </w:tcPr>
          <w:p>
            <w:pPr>
              <w:spacing w:line="400" w:lineRule="exact"/>
              <w:jc w:val="center"/>
              <w:rPr>
                <w:rFonts w:ascii="仿宋_GB2312" w:hAnsi="宋体" w:eastAsia="仿宋_GB2312"/>
                <w:sz w:val="24"/>
              </w:rPr>
            </w:pPr>
            <w:r>
              <w:rPr>
                <w:rFonts w:ascii="仿宋_GB2312" w:hAnsi="宋体" w:eastAsia="仿宋_GB2312"/>
                <w:sz w:val="24"/>
              </w:rPr>
              <w:t>明示GB</w:t>
            </w:r>
            <w:r>
              <w:rPr>
                <w:rFonts w:hint="eastAsia" w:ascii="仿宋_GB2312" w:hAnsi="宋体" w:eastAsia="仿宋_GB2312"/>
                <w:sz w:val="24"/>
              </w:rPr>
              <w:t>/T 21661</w:t>
            </w:r>
            <w:r>
              <w:rPr>
                <w:rFonts w:ascii="仿宋_GB2312" w:hAnsi="宋体" w:eastAsia="仿宋_GB2312"/>
                <w:sz w:val="24"/>
              </w:rPr>
              <w:t xml:space="preserve"> 4.4或企业标准</w:t>
            </w:r>
          </w:p>
        </w:tc>
        <w:tc>
          <w:tcPr>
            <w:tcW w:w="1273"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强制性</w:t>
            </w:r>
          </w:p>
        </w:tc>
        <w:tc>
          <w:tcPr>
            <w:tcW w:w="1985" w:type="dxa"/>
            <w:vAlign w:val="center"/>
          </w:tcPr>
          <w:p>
            <w:pPr>
              <w:spacing w:line="400" w:lineRule="exact"/>
              <w:jc w:val="center"/>
              <w:rPr>
                <w:rFonts w:ascii="仿宋_GB2312" w:hAnsi="宋体" w:eastAsia="仿宋_GB2312"/>
                <w:sz w:val="24"/>
              </w:rPr>
            </w:pPr>
            <w:r>
              <w:rPr>
                <w:rFonts w:ascii="仿宋_GB2312" w:hAnsi="宋体" w:eastAsia="仿宋_GB2312"/>
                <w:sz w:val="24"/>
              </w:rPr>
              <w:t>GB</w:t>
            </w:r>
            <w:r>
              <w:rPr>
                <w:rFonts w:hint="eastAsia" w:ascii="仿宋_GB2312" w:hAnsi="宋体" w:eastAsia="仿宋_GB2312"/>
                <w:sz w:val="24"/>
              </w:rPr>
              <w:t>/T 21661</w:t>
            </w:r>
            <w:r>
              <w:rPr>
                <w:rFonts w:ascii="仿宋_GB2312" w:hAnsi="宋体" w:eastAsia="仿宋_GB2312"/>
                <w:sz w:val="24"/>
              </w:rPr>
              <w:t xml:space="preserve"> 5.6.1</w:t>
            </w:r>
          </w:p>
        </w:tc>
        <w:tc>
          <w:tcPr>
            <w:tcW w:w="858"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72"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4</w:t>
            </w:r>
          </w:p>
        </w:tc>
        <w:tc>
          <w:tcPr>
            <w:tcW w:w="2551" w:type="dxa"/>
            <w:gridSpan w:val="2"/>
            <w:vAlign w:val="center"/>
          </w:tcPr>
          <w:p>
            <w:pPr>
              <w:spacing w:line="400" w:lineRule="exact"/>
              <w:jc w:val="center"/>
              <w:rPr>
                <w:rFonts w:ascii="仿宋_GB2312" w:hAnsi="宋体" w:eastAsia="仿宋_GB2312"/>
                <w:sz w:val="24"/>
              </w:rPr>
            </w:pPr>
            <w:r>
              <w:rPr>
                <w:rFonts w:hint="eastAsia" w:ascii="仿宋_GB2312" w:hAnsi="宋体" w:eastAsia="仿宋_GB2312"/>
                <w:sz w:val="24"/>
              </w:rPr>
              <w:t>跌落试验</w:t>
            </w:r>
          </w:p>
        </w:tc>
        <w:tc>
          <w:tcPr>
            <w:tcW w:w="2123" w:type="dxa"/>
            <w:vAlign w:val="center"/>
          </w:tcPr>
          <w:p>
            <w:pPr>
              <w:spacing w:line="400" w:lineRule="exact"/>
              <w:jc w:val="center"/>
              <w:rPr>
                <w:rFonts w:ascii="仿宋_GB2312" w:hAnsi="宋体" w:eastAsia="仿宋_GB2312"/>
                <w:sz w:val="24"/>
              </w:rPr>
            </w:pPr>
            <w:r>
              <w:rPr>
                <w:rFonts w:ascii="仿宋_GB2312" w:hAnsi="宋体" w:eastAsia="仿宋_GB2312"/>
                <w:sz w:val="24"/>
              </w:rPr>
              <w:t>明示GB</w:t>
            </w:r>
            <w:r>
              <w:rPr>
                <w:rFonts w:hint="eastAsia" w:ascii="仿宋_GB2312" w:hAnsi="宋体" w:eastAsia="仿宋_GB2312"/>
                <w:sz w:val="24"/>
              </w:rPr>
              <w:t>/T 21661</w:t>
            </w:r>
            <w:r>
              <w:rPr>
                <w:rFonts w:ascii="仿宋_GB2312" w:hAnsi="宋体" w:eastAsia="仿宋_GB2312"/>
                <w:sz w:val="24"/>
              </w:rPr>
              <w:t xml:space="preserve"> 4.4或企业标准</w:t>
            </w:r>
          </w:p>
        </w:tc>
        <w:tc>
          <w:tcPr>
            <w:tcW w:w="1273"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强制性</w:t>
            </w:r>
          </w:p>
        </w:tc>
        <w:tc>
          <w:tcPr>
            <w:tcW w:w="1985" w:type="dxa"/>
            <w:vAlign w:val="center"/>
          </w:tcPr>
          <w:p>
            <w:pPr>
              <w:spacing w:line="400" w:lineRule="exact"/>
              <w:jc w:val="center"/>
              <w:rPr>
                <w:rFonts w:ascii="仿宋_GB2312" w:hAnsi="宋体" w:eastAsia="仿宋_GB2312"/>
                <w:sz w:val="24"/>
              </w:rPr>
            </w:pPr>
            <w:r>
              <w:rPr>
                <w:rFonts w:ascii="仿宋_GB2312" w:hAnsi="宋体" w:eastAsia="仿宋_GB2312"/>
                <w:sz w:val="24"/>
              </w:rPr>
              <w:t>GB</w:t>
            </w:r>
            <w:r>
              <w:rPr>
                <w:rFonts w:hint="eastAsia" w:ascii="仿宋_GB2312" w:hAnsi="宋体" w:eastAsia="仿宋_GB2312"/>
                <w:sz w:val="24"/>
              </w:rPr>
              <w:t>/T 21661</w:t>
            </w:r>
            <w:r>
              <w:rPr>
                <w:rFonts w:ascii="仿宋_GB2312" w:hAnsi="宋体" w:eastAsia="仿宋_GB2312"/>
                <w:sz w:val="24"/>
              </w:rPr>
              <w:t xml:space="preserve"> 5.6.2</w:t>
            </w:r>
          </w:p>
        </w:tc>
        <w:tc>
          <w:tcPr>
            <w:tcW w:w="858"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72"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5</w:t>
            </w:r>
          </w:p>
        </w:tc>
        <w:tc>
          <w:tcPr>
            <w:tcW w:w="2551" w:type="dxa"/>
            <w:gridSpan w:val="2"/>
            <w:vAlign w:val="center"/>
          </w:tcPr>
          <w:p>
            <w:pPr>
              <w:spacing w:line="400" w:lineRule="exact"/>
              <w:jc w:val="center"/>
              <w:rPr>
                <w:rFonts w:ascii="仿宋_GB2312" w:hAnsi="宋体" w:eastAsia="仿宋_GB2312"/>
                <w:sz w:val="24"/>
              </w:rPr>
            </w:pPr>
            <w:r>
              <w:rPr>
                <w:rFonts w:hint="eastAsia" w:ascii="仿宋_GB2312" w:hAnsi="宋体" w:eastAsia="仿宋_GB2312"/>
                <w:sz w:val="24"/>
              </w:rPr>
              <w:t>漏水性</w:t>
            </w:r>
          </w:p>
        </w:tc>
        <w:tc>
          <w:tcPr>
            <w:tcW w:w="2123" w:type="dxa"/>
            <w:vAlign w:val="center"/>
          </w:tcPr>
          <w:p>
            <w:pPr>
              <w:spacing w:line="400" w:lineRule="exact"/>
              <w:jc w:val="center"/>
              <w:rPr>
                <w:rFonts w:ascii="仿宋_GB2312" w:hAnsi="宋体" w:eastAsia="仿宋_GB2312"/>
                <w:sz w:val="24"/>
              </w:rPr>
            </w:pPr>
            <w:r>
              <w:rPr>
                <w:rFonts w:ascii="仿宋_GB2312" w:hAnsi="宋体" w:eastAsia="仿宋_GB2312"/>
                <w:sz w:val="24"/>
              </w:rPr>
              <w:t>明示GB</w:t>
            </w:r>
            <w:r>
              <w:rPr>
                <w:rFonts w:hint="eastAsia" w:ascii="仿宋_GB2312" w:hAnsi="宋体" w:eastAsia="仿宋_GB2312"/>
                <w:sz w:val="24"/>
              </w:rPr>
              <w:t>/T 21661</w:t>
            </w:r>
            <w:r>
              <w:rPr>
                <w:rFonts w:ascii="仿宋_GB2312" w:hAnsi="宋体" w:eastAsia="仿宋_GB2312"/>
                <w:sz w:val="24"/>
              </w:rPr>
              <w:t xml:space="preserve"> 4.4或企业标准</w:t>
            </w:r>
          </w:p>
        </w:tc>
        <w:tc>
          <w:tcPr>
            <w:tcW w:w="1273"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强制性</w:t>
            </w:r>
          </w:p>
        </w:tc>
        <w:tc>
          <w:tcPr>
            <w:tcW w:w="1985" w:type="dxa"/>
            <w:vAlign w:val="center"/>
          </w:tcPr>
          <w:p>
            <w:pPr>
              <w:spacing w:line="400" w:lineRule="exact"/>
              <w:jc w:val="center"/>
              <w:rPr>
                <w:rFonts w:ascii="仿宋_GB2312" w:hAnsi="宋体" w:eastAsia="仿宋_GB2312"/>
                <w:sz w:val="24"/>
              </w:rPr>
            </w:pPr>
            <w:r>
              <w:rPr>
                <w:rFonts w:ascii="仿宋_GB2312" w:hAnsi="宋体" w:eastAsia="仿宋_GB2312"/>
                <w:sz w:val="24"/>
              </w:rPr>
              <w:t>GB</w:t>
            </w:r>
            <w:r>
              <w:rPr>
                <w:rFonts w:hint="eastAsia" w:ascii="仿宋_GB2312" w:hAnsi="宋体" w:eastAsia="仿宋_GB2312"/>
                <w:sz w:val="24"/>
              </w:rPr>
              <w:t>/T 21661</w:t>
            </w:r>
            <w:r>
              <w:rPr>
                <w:rFonts w:ascii="仿宋_GB2312" w:hAnsi="宋体" w:eastAsia="仿宋_GB2312"/>
                <w:sz w:val="24"/>
              </w:rPr>
              <w:t xml:space="preserve"> 5.6.3</w:t>
            </w:r>
          </w:p>
        </w:tc>
        <w:tc>
          <w:tcPr>
            <w:tcW w:w="858"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72"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6</w:t>
            </w:r>
          </w:p>
        </w:tc>
        <w:tc>
          <w:tcPr>
            <w:tcW w:w="2551" w:type="dxa"/>
            <w:gridSpan w:val="2"/>
            <w:vAlign w:val="center"/>
          </w:tcPr>
          <w:p>
            <w:pPr>
              <w:spacing w:line="400" w:lineRule="exact"/>
              <w:jc w:val="center"/>
              <w:rPr>
                <w:rFonts w:ascii="仿宋_GB2312" w:hAnsi="宋体" w:eastAsia="仿宋_GB2312"/>
                <w:sz w:val="24"/>
              </w:rPr>
            </w:pPr>
            <w:r>
              <w:rPr>
                <w:rFonts w:hint="eastAsia" w:ascii="仿宋_GB2312" w:hAnsi="宋体" w:eastAsia="仿宋_GB2312"/>
                <w:sz w:val="24"/>
              </w:rPr>
              <w:t>封合强度</w:t>
            </w:r>
          </w:p>
        </w:tc>
        <w:tc>
          <w:tcPr>
            <w:tcW w:w="2123" w:type="dxa"/>
            <w:vAlign w:val="center"/>
          </w:tcPr>
          <w:p>
            <w:pPr>
              <w:spacing w:line="400" w:lineRule="exact"/>
              <w:jc w:val="center"/>
              <w:rPr>
                <w:rFonts w:ascii="仿宋_GB2312" w:hAnsi="宋体" w:eastAsia="仿宋_GB2312"/>
                <w:sz w:val="24"/>
              </w:rPr>
            </w:pPr>
            <w:r>
              <w:rPr>
                <w:rFonts w:ascii="仿宋_GB2312" w:hAnsi="宋体" w:eastAsia="仿宋_GB2312"/>
                <w:sz w:val="24"/>
              </w:rPr>
              <w:t>明示GB</w:t>
            </w:r>
            <w:r>
              <w:rPr>
                <w:rFonts w:hint="eastAsia" w:ascii="仿宋_GB2312" w:hAnsi="宋体" w:eastAsia="仿宋_GB2312"/>
                <w:sz w:val="24"/>
              </w:rPr>
              <w:t>/T 21661</w:t>
            </w:r>
            <w:r>
              <w:rPr>
                <w:rFonts w:ascii="仿宋_GB2312" w:hAnsi="宋体" w:eastAsia="仿宋_GB2312"/>
                <w:sz w:val="24"/>
              </w:rPr>
              <w:t xml:space="preserve"> 4.4或企业标准</w:t>
            </w:r>
          </w:p>
        </w:tc>
        <w:tc>
          <w:tcPr>
            <w:tcW w:w="1273"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强制性</w:t>
            </w:r>
          </w:p>
        </w:tc>
        <w:tc>
          <w:tcPr>
            <w:tcW w:w="1985" w:type="dxa"/>
            <w:vAlign w:val="center"/>
          </w:tcPr>
          <w:p>
            <w:pPr>
              <w:spacing w:line="400" w:lineRule="exact"/>
              <w:jc w:val="center"/>
              <w:rPr>
                <w:rFonts w:ascii="仿宋_GB2312" w:hAnsi="宋体" w:eastAsia="仿宋_GB2312"/>
                <w:sz w:val="24"/>
              </w:rPr>
            </w:pPr>
            <w:r>
              <w:rPr>
                <w:rFonts w:ascii="仿宋_GB2312" w:hAnsi="宋体" w:eastAsia="仿宋_GB2312"/>
                <w:sz w:val="24"/>
              </w:rPr>
              <w:t>GB</w:t>
            </w:r>
            <w:r>
              <w:rPr>
                <w:rFonts w:hint="eastAsia" w:ascii="仿宋_GB2312" w:hAnsi="宋体" w:eastAsia="仿宋_GB2312"/>
                <w:sz w:val="24"/>
              </w:rPr>
              <w:t>/T 21661</w:t>
            </w:r>
            <w:r>
              <w:rPr>
                <w:rFonts w:ascii="仿宋_GB2312" w:hAnsi="宋体" w:eastAsia="仿宋_GB2312"/>
                <w:sz w:val="24"/>
              </w:rPr>
              <w:t xml:space="preserve"> 5.6.4</w:t>
            </w:r>
          </w:p>
        </w:tc>
        <w:tc>
          <w:tcPr>
            <w:tcW w:w="858"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72"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7</w:t>
            </w:r>
          </w:p>
        </w:tc>
        <w:tc>
          <w:tcPr>
            <w:tcW w:w="2551" w:type="dxa"/>
            <w:gridSpan w:val="2"/>
            <w:vAlign w:val="center"/>
          </w:tcPr>
          <w:p>
            <w:pPr>
              <w:spacing w:line="400" w:lineRule="exact"/>
              <w:jc w:val="center"/>
              <w:rPr>
                <w:rFonts w:ascii="仿宋_GB2312" w:hAnsi="宋体" w:eastAsia="仿宋_GB2312"/>
                <w:sz w:val="24"/>
              </w:rPr>
            </w:pPr>
            <w:r>
              <w:rPr>
                <w:rFonts w:hint="eastAsia" w:ascii="仿宋_GB2312" w:hAnsi="宋体" w:eastAsia="仿宋_GB2312"/>
                <w:sz w:val="24"/>
              </w:rPr>
              <w:t>落镖冲击</w:t>
            </w:r>
          </w:p>
        </w:tc>
        <w:tc>
          <w:tcPr>
            <w:tcW w:w="2123" w:type="dxa"/>
            <w:vAlign w:val="center"/>
          </w:tcPr>
          <w:p>
            <w:pPr>
              <w:spacing w:line="400" w:lineRule="exact"/>
              <w:jc w:val="center"/>
              <w:rPr>
                <w:rFonts w:ascii="仿宋_GB2312" w:hAnsi="宋体" w:eastAsia="仿宋_GB2312"/>
                <w:sz w:val="24"/>
              </w:rPr>
            </w:pPr>
            <w:r>
              <w:rPr>
                <w:rFonts w:ascii="仿宋_GB2312" w:hAnsi="宋体" w:eastAsia="仿宋_GB2312"/>
                <w:sz w:val="24"/>
              </w:rPr>
              <w:t>明示GB</w:t>
            </w:r>
            <w:r>
              <w:rPr>
                <w:rFonts w:hint="eastAsia" w:ascii="仿宋_GB2312" w:hAnsi="宋体" w:eastAsia="仿宋_GB2312"/>
                <w:sz w:val="24"/>
              </w:rPr>
              <w:t>/T 21661</w:t>
            </w:r>
            <w:r>
              <w:rPr>
                <w:rFonts w:ascii="仿宋_GB2312" w:hAnsi="宋体" w:eastAsia="仿宋_GB2312"/>
                <w:sz w:val="24"/>
              </w:rPr>
              <w:t xml:space="preserve"> 4.4或企业标准</w:t>
            </w:r>
          </w:p>
        </w:tc>
        <w:tc>
          <w:tcPr>
            <w:tcW w:w="1273"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强制性</w:t>
            </w:r>
          </w:p>
        </w:tc>
        <w:tc>
          <w:tcPr>
            <w:tcW w:w="1985" w:type="dxa"/>
            <w:vAlign w:val="center"/>
          </w:tcPr>
          <w:p>
            <w:pPr>
              <w:spacing w:line="400" w:lineRule="exact"/>
              <w:jc w:val="center"/>
              <w:rPr>
                <w:rFonts w:ascii="仿宋_GB2312" w:hAnsi="宋体" w:eastAsia="仿宋_GB2312"/>
                <w:sz w:val="24"/>
              </w:rPr>
            </w:pPr>
            <w:r>
              <w:rPr>
                <w:rFonts w:ascii="仿宋_GB2312" w:hAnsi="宋体" w:eastAsia="仿宋_GB2312"/>
                <w:sz w:val="24"/>
              </w:rPr>
              <w:t>GB</w:t>
            </w:r>
            <w:r>
              <w:rPr>
                <w:rFonts w:hint="eastAsia" w:ascii="仿宋_GB2312" w:hAnsi="宋体" w:eastAsia="仿宋_GB2312"/>
                <w:sz w:val="24"/>
              </w:rPr>
              <w:t>/T 21661</w:t>
            </w:r>
            <w:r>
              <w:rPr>
                <w:rFonts w:ascii="仿宋_GB2312" w:hAnsi="宋体" w:eastAsia="仿宋_GB2312"/>
                <w:sz w:val="24"/>
              </w:rPr>
              <w:t xml:space="preserve"> 5.6.5</w:t>
            </w:r>
          </w:p>
        </w:tc>
        <w:tc>
          <w:tcPr>
            <w:tcW w:w="858"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备样</w:t>
            </w:r>
          </w:p>
        </w:tc>
      </w:tr>
    </w:tbl>
    <w:p>
      <w:pPr>
        <w:snapToGrid w:val="0"/>
        <w:spacing w:line="360" w:lineRule="auto"/>
        <w:rPr>
          <w:rFonts w:ascii="仿宋_GB2312" w:hAnsi="宋体" w:eastAsia="仿宋_GB2312" w:cs="Times New Roman"/>
          <w:b/>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 xml:space="preserve"> 检验应注意的问题</w:t>
      </w:r>
    </w:p>
    <w:p>
      <w:pPr>
        <w:snapToGrid w:val="0"/>
        <w:spacing w:line="360" w:lineRule="auto"/>
        <w:rPr>
          <w:rFonts w:ascii="仿宋_GB2312" w:hAnsi="宋体" w:eastAsia="仿宋_GB2312" w:cs="Times New Roman"/>
          <w:iCs/>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.1</w:t>
      </w:r>
      <w:r>
        <w:rPr>
          <w:rFonts w:hint="eastAsia" w:ascii="仿宋_GB2312" w:hAnsi="Calibri"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sz w:val="28"/>
          <w:szCs w:val="28"/>
        </w:rPr>
        <w:t>备用</w:t>
      </w:r>
      <w:r>
        <w:rPr>
          <w:rFonts w:hint="eastAsia" w:ascii="仿宋_GB2312" w:hAnsi="宋体" w:eastAsia="仿宋_GB2312" w:cs="Times New Roman"/>
          <w:iCs/>
          <w:sz w:val="28"/>
          <w:szCs w:val="28"/>
        </w:rPr>
        <w:t>样品应该贮存在阴凉、干燥、安全、避光处，在整个保存期间应保证签封完整无损。</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7 判定原则</w:t>
      </w:r>
    </w:p>
    <w:p>
      <w:pPr>
        <w:spacing w:line="360" w:lineRule="auto"/>
        <w:rPr>
          <w:rFonts w:ascii="仿宋_GB2312" w:hAnsi="宋体" w:eastAsia="仿宋_GB2312"/>
          <w:sz w:val="28"/>
          <w:szCs w:val="28"/>
        </w:rPr>
      </w:pPr>
      <w:r>
        <w:rPr>
          <w:rFonts w:hint="eastAsia" w:ascii="仿宋_GB2312" w:hAnsi="宋体" w:eastAsia="仿宋_GB2312"/>
          <w:sz w:val="28"/>
          <w:szCs w:val="28"/>
        </w:rPr>
        <w:t>7.1检验项目全部合格，判定为符合明示GB/T 21661-2008或企业标准。</w:t>
      </w:r>
    </w:p>
    <w:p>
      <w:pPr>
        <w:spacing w:line="360" w:lineRule="auto"/>
        <w:rPr>
          <w:rFonts w:ascii="仿宋_GB2312" w:hAnsi="宋体" w:eastAsia="仿宋_GB2312"/>
          <w:sz w:val="28"/>
          <w:szCs w:val="28"/>
        </w:rPr>
      </w:pPr>
      <w:r>
        <w:rPr>
          <w:rFonts w:hint="eastAsia" w:ascii="仿宋_GB2312" w:hAnsi="宋体" w:eastAsia="仿宋_GB2312"/>
          <w:sz w:val="28"/>
          <w:szCs w:val="28"/>
        </w:rPr>
        <w:t>7.2仅“厚度”项目不合格时，判定为厚度不符合国家法定要求（0.025毫米，《产业结构调整指导目录（2011年本）》）。</w:t>
      </w:r>
    </w:p>
    <w:p>
      <w:pPr>
        <w:spacing w:line="360" w:lineRule="auto"/>
        <w:rPr>
          <w:rFonts w:ascii="仿宋_GB2312" w:hAnsi="宋体" w:eastAsia="仿宋_GB2312"/>
          <w:sz w:val="28"/>
          <w:szCs w:val="28"/>
        </w:rPr>
      </w:pPr>
      <w:r>
        <w:rPr>
          <w:rFonts w:hint="eastAsia" w:ascii="仿宋_GB2312" w:hAnsi="宋体" w:eastAsia="仿宋_GB2312"/>
          <w:sz w:val="28"/>
          <w:szCs w:val="28"/>
        </w:rPr>
        <w:t>7.3检验项目（除“厚度”项目外）存在不合格项时，判定为不符合明示GB/T 21661-2008或企业标准。</w:t>
      </w:r>
    </w:p>
    <w:p>
      <w:pPr>
        <w:spacing w:line="360" w:lineRule="auto"/>
        <w:rPr>
          <w:rFonts w:ascii="仿宋_GB2312" w:hAnsi="宋体" w:eastAsia="仿宋_GB2312"/>
          <w:sz w:val="28"/>
          <w:szCs w:val="28"/>
        </w:rPr>
      </w:pPr>
      <w:r>
        <w:rPr>
          <w:rFonts w:ascii="仿宋_GB2312" w:hAnsi="宋体" w:eastAsia="仿宋_GB2312"/>
          <w:sz w:val="28"/>
          <w:szCs w:val="28"/>
        </w:rPr>
        <w:t>7.4</w:t>
      </w:r>
      <w:r>
        <w:rPr>
          <w:rFonts w:hint="eastAsia" w:ascii="仿宋_GB2312" w:hAnsi="宋体" w:eastAsia="仿宋_GB2312"/>
          <w:sz w:val="28"/>
          <w:szCs w:val="28"/>
        </w:rPr>
        <w:t>检验项目中的“厚度”和其他项目均不合格时，判定为不符合国家法定要求（0.025毫米，《产业结构调整指导目录（2011年本）》）和明示GB/T 21661-2008或企业标准。</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8 异议处理复检</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w:t>
      </w:r>
      <w:r>
        <w:rPr>
          <w:rFonts w:ascii="仿宋_GB2312" w:eastAsia="仿宋_GB2312" w:cs="Sim Sun"/>
          <w:iCs/>
          <w:kern w:val="0"/>
          <w:sz w:val="28"/>
          <w:szCs w:val="28"/>
        </w:rPr>
        <w:t>可以自收到检验结果之日起15日内向</w:t>
      </w:r>
      <w:r>
        <w:rPr>
          <w:rFonts w:hint="eastAsia" w:ascii="仿宋_GB2312" w:eastAsia="仿宋_GB2312" w:cs="Sim Sun"/>
          <w:iCs/>
          <w:kern w:val="0"/>
          <w:sz w:val="28"/>
          <w:szCs w:val="28"/>
        </w:rPr>
        <w:t>深圳市市场监督管理局</w:t>
      </w:r>
      <w:r>
        <w:rPr>
          <w:rFonts w:ascii="仿宋_GB2312" w:eastAsia="仿宋_GB2312" w:cs="Sim Sun"/>
          <w:iCs/>
          <w:kern w:val="0"/>
          <w:sz w:val="28"/>
          <w:szCs w:val="28"/>
        </w:rPr>
        <w:t>提出书面复检申请。逾期未提出异议的，视为承认检验结果。</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ascii="仿宋_GB2312" w:eastAsia="仿宋_GB2312" w:cs="Sim Sun"/>
          <w:iCs/>
          <w:kern w:val="0"/>
          <w:sz w:val="28"/>
          <w:szCs w:val="28"/>
        </w:rPr>
        <w:t>检验机构</w:t>
      </w:r>
      <w:r>
        <w:rPr>
          <w:rFonts w:hint="eastAsia" w:ascii="仿宋_GB2312" w:eastAsia="仿宋_GB2312" w:cs="Sim Sun"/>
          <w:iCs/>
          <w:kern w:val="0"/>
          <w:sz w:val="28"/>
          <w:szCs w:val="28"/>
        </w:rPr>
        <w:t>接到深圳市市场监督管理局的复检通知后</w:t>
      </w:r>
      <w:r>
        <w:rPr>
          <w:rFonts w:ascii="仿宋_GB2312" w:eastAsia="仿宋_GB2312" w:cs="Sim Sun"/>
          <w:iCs/>
          <w:kern w:val="0"/>
          <w:sz w:val="28"/>
          <w:szCs w:val="28"/>
        </w:rPr>
        <w:t>应当按原监督抽查方案</w:t>
      </w:r>
      <w:r>
        <w:rPr>
          <w:rFonts w:hint="eastAsia" w:ascii="仿宋_GB2312" w:eastAsia="仿宋_GB2312" w:cs="Sim Sun"/>
          <w:iCs/>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28"/>
          <w:szCs w:val="28"/>
        </w:rPr>
        <w:t>的结论。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w:t>
      </w:r>
      <w:r>
        <w:rPr>
          <w:rFonts w:ascii="仿宋_GB2312" w:eastAsia="仿宋_GB2312" w:cs="Sim Sun"/>
          <w:b/>
          <w:kern w:val="0"/>
          <w:sz w:val="28"/>
          <w:szCs w:val="28"/>
        </w:rPr>
        <w:t>3</w:t>
      </w:r>
      <w:r>
        <w:rPr>
          <w:rFonts w:hint="eastAsia" w:ascii="仿宋_GB2312" w:eastAsia="仿宋_GB2312" w:cs="Sim Sun"/>
          <w:iCs/>
          <w:kern w:val="0"/>
          <w:sz w:val="28"/>
          <w:szCs w:val="28"/>
        </w:rPr>
        <w:t>复验</w:t>
      </w:r>
      <w:r>
        <w:rPr>
          <w:rFonts w:ascii="仿宋_GB2312" w:eastAsia="仿宋_GB2312" w:cs="Sim Sun"/>
          <w:iCs/>
          <w:kern w:val="0"/>
          <w:sz w:val="28"/>
          <w:szCs w:val="28"/>
        </w:rPr>
        <w:t>检验人员与初检检验人员不得为同一人。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8.4</w:t>
      </w:r>
      <w:r>
        <w:rPr>
          <w:rFonts w:hint="eastAsia" w:ascii="仿宋_GB2312" w:eastAsia="仿宋_GB2312" w:cs="Sim Sun"/>
          <w:kern w:val="0"/>
          <w:sz w:val="28"/>
          <w:szCs w:val="28"/>
        </w:rPr>
        <w:t>需对不合格项目复验时，按6.1选择复检样品。当复检结果仍不合格，维持原检验结果不变。当复检结果合格，以复检结果为准。</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8.5</w:t>
      </w:r>
      <w:r>
        <w:rPr>
          <w:rFonts w:hint="eastAsia" w:ascii="仿宋_GB2312" w:eastAsia="仿宋_GB2312" w:cs="Sim Sun"/>
          <w:iCs/>
          <w:kern w:val="0"/>
          <w:sz w:val="28"/>
          <w:szCs w:val="28"/>
        </w:rPr>
        <w:t>深圳市市场监督管理局根据初检</w:t>
      </w:r>
      <w:r>
        <w:rPr>
          <w:rFonts w:ascii="仿宋_GB2312" w:eastAsia="仿宋_GB2312" w:cs="Sim Sun"/>
          <w:iCs/>
          <w:kern w:val="0"/>
          <w:sz w:val="28"/>
          <w:szCs w:val="28"/>
        </w:rPr>
        <w:t>、复</w:t>
      </w:r>
      <w:r>
        <w:rPr>
          <w:rFonts w:hint="eastAsia" w:ascii="仿宋_GB2312" w:eastAsia="仿宋_GB2312" w:cs="Sim Sun"/>
          <w:iCs/>
          <w:kern w:val="0"/>
          <w:sz w:val="28"/>
          <w:szCs w:val="28"/>
        </w:rPr>
        <w:t>验</w:t>
      </w:r>
      <w:r>
        <w:rPr>
          <w:rFonts w:ascii="仿宋_GB2312" w:eastAsia="仿宋_GB2312" w:cs="Sim Sun"/>
          <w:iCs/>
          <w:kern w:val="0"/>
          <w:sz w:val="28"/>
          <w:szCs w:val="28"/>
        </w:rPr>
        <w:t>结果及企业提交的</w:t>
      </w:r>
      <w:r>
        <w:rPr>
          <w:rFonts w:hint="eastAsia" w:ascii="仿宋_GB2312" w:eastAsia="仿宋_GB2312" w:cs="Sim Sun"/>
          <w:iCs/>
          <w:kern w:val="0"/>
          <w:sz w:val="28"/>
          <w:szCs w:val="28"/>
        </w:rPr>
        <w:t>证明</w:t>
      </w:r>
      <w:r>
        <w:rPr>
          <w:rFonts w:ascii="仿宋_GB2312" w:eastAsia="仿宋_GB2312" w:cs="Sim Sun"/>
          <w:iCs/>
          <w:kern w:val="0"/>
          <w:sz w:val="28"/>
          <w:szCs w:val="28"/>
        </w:rPr>
        <w:t>材料，做出复检结论</w:t>
      </w:r>
      <w:r>
        <w:rPr>
          <w:rFonts w:hint="eastAsia" w:ascii="仿宋_GB2312" w:eastAsia="仿宋_GB2312" w:cs="Sim Sun"/>
          <w:iCs/>
          <w:kern w:val="0"/>
          <w:sz w:val="28"/>
          <w:szCs w:val="28"/>
        </w:rPr>
        <w:t>，</w:t>
      </w:r>
      <w:r>
        <w:rPr>
          <w:rFonts w:ascii="仿宋_GB2312" w:eastAsia="仿宋_GB2312" w:cs="Sim Sun"/>
          <w:iCs/>
          <w:kern w:val="0"/>
          <w:sz w:val="28"/>
          <w:szCs w:val="28"/>
        </w:rPr>
        <w:t>复检结论为最终结论。</w:t>
      </w:r>
    </w:p>
    <w:p>
      <w:pPr>
        <w:snapToGrid w:val="0"/>
        <w:spacing w:line="360" w:lineRule="auto"/>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 xml:space="preserve"> 附则</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sectPr>
      <w:pgSz w:w="11906" w:h="16838"/>
      <w:pgMar w:top="1587" w:right="1474" w:bottom="1587"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412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Changmy</dc:creator>
  <cp:lastModifiedBy>常孟园</cp:lastModifiedBy>
  <dcterms:modified xsi:type="dcterms:W3CDTF">2019-03-27T01:43:37Z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