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47" w:rsidRPr="00D35D12" w:rsidRDefault="00E26647" w:rsidP="00E26647">
      <w:pPr>
        <w:spacing w:beforeLines="50" w:before="156" w:line="360" w:lineRule="auto"/>
        <w:jc w:val="center"/>
        <w:rPr>
          <w:rFonts w:ascii="方正小标宋简体" w:eastAsia="方正小标宋简体" w:hAnsi="宋体" w:hint="eastAsia"/>
          <w:color w:val="000000"/>
          <w:sz w:val="36"/>
        </w:rPr>
      </w:pPr>
      <w:r w:rsidRPr="00D35D12">
        <w:rPr>
          <w:rFonts w:ascii="方正小标宋简体" w:eastAsia="方正小标宋简体" w:hAnsi="宋体" w:hint="eastAsia"/>
          <w:color w:val="000000"/>
          <w:sz w:val="36"/>
        </w:rPr>
        <w:t>深圳市市场监督管理局电动自行车产品</w:t>
      </w:r>
    </w:p>
    <w:p w:rsidR="00E26647" w:rsidRPr="00D35D12" w:rsidRDefault="00E26647" w:rsidP="00E26647">
      <w:pPr>
        <w:spacing w:beforeLines="50" w:before="156" w:line="360" w:lineRule="auto"/>
        <w:jc w:val="center"/>
        <w:rPr>
          <w:rFonts w:ascii="方正小标宋简体" w:eastAsia="方正小标宋简体" w:hAnsi="宋体" w:hint="eastAsia"/>
          <w:color w:val="000000"/>
          <w:sz w:val="36"/>
        </w:rPr>
      </w:pPr>
      <w:r w:rsidRPr="00D35D12">
        <w:rPr>
          <w:rFonts w:ascii="方正小标宋简体" w:eastAsia="方正小标宋简体" w:hAnsi="宋体" w:hint="eastAsia"/>
          <w:color w:val="000000"/>
          <w:sz w:val="36"/>
        </w:rPr>
        <w:t>质量监督抽查实施规范</w:t>
      </w:r>
    </w:p>
    <w:p w:rsidR="00E26647" w:rsidRPr="00D35D12" w:rsidRDefault="00E26647" w:rsidP="00E26647">
      <w:pPr>
        <w:spacing w:beforeLines="75" w:before="234" w:line="300" w:lineRule="exact"/>
        <w:jc w:val="center"/>
        <w:rPr>
          <w:rFonts w:ascii="黑体" w:eastAsia="黑体" w:hAnsi="黑体" w:hint="eastAsia"/>
          <w:sz w:val="28"/>
        </w:rPr>
      </w:pPr>
      <w:r w:rsidRPr="00D35D12">
        <w:rPr>
          <w:rFonts w:ascii="黑体" w:eastAsia="黑体" w:hAnsi="黑体" w:hint="eastAsia"/>
          <w:sz w:val="28"/>
        </w:rPr>
        <w:t>编号：CCGF-SZ-038-2017</w:t>
      </w:r>
    </w:p>
    <w:p w:rsidR="00E26647" w:rsidRPr="00270B5A" w:rsidRDefault="00E26647" w:rsidP="00E26647">
      <w:pPr>
        <w:spacing w:beforeLines="75" w:before="234" w:line="300" w:lineRule="exact"/>
        <w:jc w:val="right"/>
        <w:rPr>
          <w:rFonts w:ascii="宋体" w:hAnsi="宋体"/>
          <w:sz w:val="24"/>
        </w:rPr>
      </w:pP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1适用范围</w:t>
      </w:r>
    </w:p>
    <w:p w:rsidR="00E26647" w:rsidRPr="00253BBD" w:rsidRDefault="00E26647" w:rsidP="00D35D12">
      <w:pPr>
        <w:spacing w:before="50"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本</w:t>
      </w:r>
      <w:r>
        <w:rPr>
          <w:rFonts w:ascii="仿宋_GB2312" w:eastAsia="仿宋_GB2312" w:hAnsi="宋体" w:hint="eastAsia"/>
          <w:color w:val="000000"/>
          <w:sz w:val="28"/>
          <w:szCs w:val="28"/>
        </w:rPr>
        <w:t>规范</w:t>
      </w:r>
      <w:r w:rsidRPr="00253BBD">
        <w:rPr>
          <w:rFonts w:ascii="仿宋_GB2312" w:eastAsia="仿宋_GB2312" w:hAnsi="宋体" w:hint="eastAsia"/>
          <w:color w:val="000000"/>
          <w:sz w:val="28"/>
          <w:szCs w:val="28"/>
        </w:rPr>
        <w:t>适用于深圳市生产及流通领域电动自行车产品质量监督抽查。监督抽查产品范围适用于电动自行车。</w:t>
      </w:r>
    </w:p>
    <w:p w:rsidR="00E26647" w:rsidRPr="000B45B0" w:rsidRDefault="00E26647" w:rsidP="00D35D12">
      <w:pPr>
        <w:pStyle w:val="2"/>
        <w:spacing w:line="360" w:lineRule="auto"/>
        <w:ind w:leftChars="0" w:left="0" w:firstLineChars="200" w:firstLine="560"/>
        <w:rPr>
          <w:rFonts w:ascii="仿宋_GB2312" w:eastAsia="仿宋_GB2312" w:hAnsi="宋体"/>
          <w:color w:val="000000"/>
          <w:sz w:val="28"/>
          <w:szCs w:val="28"/>
        </w:rPr>
      </w:pPr>
      <w:r w:rsidRPr="000B45B0">
        <w:rPr>
          <w:rFonts w:ascii="仿宋_GB2312" w:eastAsia="仿宋_GB2312" w:hAnsi="宋体" w:hint="eastAsia"/>
          <w:color w:val="000000"/>
          <w:sz w:val="28"/>
          <w:szCs w:val="28"/>
        </w:rPr>
        <w:t>本</w:t>
      </w:r>
      <w:r>
        <w:rPr>
          <w:rFonts w:ascii="仿宋_GB2312" w:eastAsia="仿宋_GB2312" w:hAnsi="宋体" w:hint="eastAsia"/>
          <w:color w:val="000000"/>
          <w:sz w:val="28"/>
          <w:szCs w:val="28"/>
        </w:rPr>
        <w:t>规范</w:t>
      </w:r>
      <w:r w:rsidRPr="000B45B0">
        <w:rPr>
          <w:rFonts w:ascii="仿宋_GB2312" w:eastAsia="仿宋_GB2312" w:hAnsi="宋体" w:hint="eastAsia"/>
          <w:color w:val="000000"/>
          <w:sz w:val="28"/>
          <w:szCs w:val="28"/>
        </w:rPr>
        <w:t>内容包括适用范围、产品种类、术语和定义、检验依据、抽样、检验要求，判定原则及异议处理复检。</w:t>
      </w:r>
    </w:p>
    <w:p w:rsidR="00D35D12"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2产品种类</w:t>
      </w:r>
    </w:p>
    <w:p w:rsidR="00E26647" w:rsidRPr="00AB03A8" w:rsidRDefault="00E26647" w:rsidP="00E26647">
      <w:pPr>
        <w:snapToGrid w:val="0"/>
        <w:spacing w:line="360" w:lineRule="auto"/>
        <w:jc w:val="center"/>
        <w:rPr>
          <w:rFonts w:ascii="黑体" w:eastAsia="黑体" w:hAnsi="黑体"/>
          <w:color w:val="000000"/>
          <w:sz w:val="24"/>
          <w:szCs w:val="28"/>
        </w:rPr>
      </w:pPr>
      <w:r w:rsidRPr="00AB03A8">
        <w:rPr>
          <w:rFonts w:ascii="黑体" w:eastAsia="黑体" w:hAnsi="黑体" w:hint="eastAsia"/>
          <w:color w:val="000000"/>
          <w:sz w:val="24"/>
          <w:szCs w:val="28"/>
        </w:rPr>
        <w:t>表1  产品种类</w:t>
      </w:r>
    </w:p>
    <w:tbl>
      <w:tblPr>
        <w:tblW w:w="6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4786"/>
      </w:tblGrid>
      <w:tr w:rsidR="00E26647" w:rsidRPr="00253BBD" w:rsidTr="00D35D12">
        <w:trPr>
          <w:trHeight w:val="559"/>
          <w:tblHeader/>
          <w:jc w:val="center"/>
        </w:trPr>
        <w:tc>
          <w:tcPr>
            <w:tcW w:w="1999" w:type="dxa"/>
            <w:vAlign w:val="center"/>
          </w:tcPr>
          <w:p w:rsidR="00E26647" w:rsidRPr="00D35D12" w:rsidRDefault="00E26647" w:rsidP="00E26647">
            <w:pPr>
              <w:snapToGrid w:val="0"/>
              <w:spacing w:line="300" w:lineRule="exact"/>
              <w:jc w:val="center"/>
              <w:rPr>
                <w:rFonts w:ascii="黑体" w:eastAsia="黑体" w:hAnsi="黑体"/>
                <w:color w:val="000000"/>
                <w:szCs w:val="21"/>
              </w:rPr>
            </w:pPr>
            <w:r w:rsidRPr="00D35D12">
              <w:rPr>
                <w:rFonts w:ascii="黑体" w:eastAsia="黑体" w:hAnsi="黑体" w:hint="eastAsia"/>
                <w:color w:val="000000"/>
                <w:szCs w:val="21"/>
              </w:rPr>
              <w:t>产品种类</w:t>
            </w:r>
          </w:p>
        </w:tc>
        <w:tc>
          <w:tcPr>
            <w:tcW w:w="4786" w:type="dxa"/>
            <w:vAlign w:val="center"/>
          </w:tcPr>
          <w:p w:rsidR="00E26647" w:rsidRPr="00D35D12" w:rsidRDefault="00E26647" w:rsidP="00E26647">
            <w:pPr>
              <w:snapToGrid w:val="0"/>
              <w:spacing w:line="300" w:lineRule="exact"/>
              <w:jc w:val="center"/>
              <w:rPr>
                <w:rFonts w:ascii="黑体" w:eastAsia="黑体" w:hAnsi="黑体"/>
                <w:color w:val="000000"/>
                <w:szCs w:val="21"/>
              </w:rPr>
            </w:pPr>
            <w:r w:rsidRPr="00D35D12">
              <w:rPr>
                <w:rFonts w:ascii="黑体" w:eastAsia="黑体" w:hAnsi="黑体" w:hint="eastAsia"/>
                <w:color w:val="000000"/>
                <w:szCs w:val="21"/>
              </w:rPr>
              <w:t>包含产品列举</w:t>
            </w:r>
          </w:p>
        </w:tc>
      </w:tr>
      <w:tr w:rsidR="00E26647" w:rsidRPr="00253BBD" w:rsidTr="00D35D12">
        <w:trPr>
          <w:trHeight w:val="532"/>
          <w:jc w:val="center"/>
        </w:trPr>
        <w:tc>
          <w:tcPr>
            <w:tcW w:w="1999" w:type="dxa"/>
            <w:vAlign w:val="center"/>
          </w:tcPr>
          <w:p w:rsidR="00E26647" w:rsidRPr="00253BBD" w:rsidRDefault="00E26647" w:rsidP="00E26647">
            <w:pPr>
              <w:snapToGrid w:val="0"/>
              <w:spacing w:line="30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电动自行车</w:t>
            </w:r>
          </w:p>
        </w:tc>
        <w:tc>
          <w:tcPr>
            <w:tcW w:w="4786" w:type="dxa"/>
            <w:vAlign w:val="center"/>
          </w:tcPr>
          <w:p w:rsidR="00E26647" w:rsidRPr="00253BBD" w:rsidRDefault="00E26647" w:rsidP="00E26647">
            <w:pPr>
              <w:snapToGrid w:val="0"/>
              <w:spacing w:line="300" w:lineRule="exact"/>
              <w:rPr>
                <w:rFonts w:ascii="仿宋_GB2312" w:eastAsia="仿宋_GB2312" w:hAnsi="宋体"/>
                <w:color w:val="000000"/>
                <w:szCs w:val="21"/>
              </w:rPr>
            </w:pPr>
            <w:r w:rsidRPr="00253BBD">
              <w:rPr>
                <w:rFonts w:ascii="仿宋_GB2312" w:eastAsia="仿宋_GB2312" w:hAnsi="宋体" w:hint="eastAsia"/>
                <w:color w:val="000000"/>
                <w:szCs w:val="21"/>
              </w:rPr>
              <w:t>按蓄电池电压分为：36V、48V型电动自行车</w:t>
            </w:r>
          </w:p>
        </w:tc>
      </w:tr>
    </w:tbl>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3 术语和定义</w:t>
      </w:r>
    </w:p>
    <w:p w:rsidR="00E26647" w:rsidRPr="00AB03A8" w:rsidRDefault="00E26647" w:rsidP="00E26647">
      <w:pPr>
        <w:snapToGrid w:val="0"/>
        <w:spacing w:line="360" w:lineRule="auto"/>
        <w:jc w:val="center"/>
        <w:rPr>
          <w:rFonts w:ascii="黑体" w:eastAsia="黑体" w:hAnsi="黑体"/>
          <w:color w:val="000000"/>
          <w:sz w:val="24"/>
          <w:szCs w:val="28"/>
        </w:rPr>
      </w:pPr>
      <w:r w:rsidRPr="00AB03A8">
        <w:rPr>
          <w:rFonts w:ascii="黑体" w:eastAsia="黑体" w:hAnsi="黑体" w:hint="eastAsia"/>
          <w:color w:val="000000"/>
          <w:sz w:val="24"/>
          <w:szCs w:val="28"/>
        </w:rPr>
        <w:t>表2  产品种类描述</w:t>
      </w: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002"/>
      </w:tblGrid>
      <w:tr w:rsidR="00E26647" w:rsidRPr="00253BBD" w:rsidTr="00E26647">
        <w:trPr>
          <w:trHeight w:val="530"/>
          <w:tblHeader/>
          <w:jc w:val="center"/>
        </w:trPr>
        <w:tc>
          <w:tcPr>
            <w:tcW w:w="2057" w:type="dxa"/>
            <w:vAlign w:val="center"/>
          </w:tcPr>
          <w:p w:rsidR="00E26647" w:rsidRPr="00D35D12" w:rsidRDefault="00E26647" w:rsidP="00E26647">
            <w:pPr>
              <w:snapToGrid w:val="0"/>
              <w:spacing w:line="300" w:lineRule="exact"/>
              <w:jc w:val="center"/>
              <w:rPr>
                <w:rFonts w:ascii="黑体" w:eastAsia="黑体" w:hAnsi="黑体"/>
                <w:color w:val="000000"/>
                <w:szCs w:val="21"/>
              </w:rPr>
            </w:pPr>
            <w:r w:rsidRPr="00D35D12">
              <w:rPr>
                <w:rFonts w:ascii="黑体" w:eastAsia="黑体" w:hAnsi="黑体" w:hint="eastAsia"/>
                <w:color w:val="000000"/>
                <w:szCs w:val="21"/>
              </w:rPr>
              <w:t>产品种类</w:t>
            </w:r>
          </w:p>
        </w:tc>
        <w:tc>
          <w:tcPr>
            <w:tcW w:w="6002" w:type="dxa"/>
            <w:vAlign w:val="center"/>
          </w:tcPr>
          <w:p w:rsidR="00E26647" w:rsidRPr="00D35D12" w:rsidRDefault="00E26647" w:rsidP="00E26647">
            <w:pPr>
              <w:snapToGrid w:val="0"/>
              <w:spacing w:line="300" w:lineRule="exact"/>
              <w:jc w:val="center"/>
              <w:rPr>
                <w:rFonts w:ascii="黑体" w:eastAsia="黑体" w:hAnsi="黑体"/>
                <w:color w:val="000000"/>
                <w:szCs w:val="21"/>
              </w:rPr>
            </w:pPr>
            <w:r w:rsidRPr="00D35D12">
              <w:rPr>
                <w:rFonts w:ascii="黑体" w:eastAsia="黑体" w:hAnsi="黑体" w:hint="eastAsia"/>
                <w:color w:val="000000"/>
                <w:szCs w:val="21"/>
              </w:rPr>
              <w:t>产品种类描述</w:t>
            </w:r>
          </w:p>
        </w:tc>
      </w:tr>
      <w:tr w:rsidR="00E26647" w:rsidRPr="00253BBD" w:rsidTr="00E26647">
        <w:trPr>
          <w:trHeight w:val="878"/>
          <w:jc w:val="center"/>
        </w:trPr>
        <w:tc>
          <w:tcPr>
            <w:tcW w:w="2057" w:type="dxa"/>
            <w:vAlign w:val="center"/>
          </w:tcPr>
          <w:p w:rsidR="00E26647" w:rsidRPr="00253BBD" w:rsidRDefault="00E26647" w:rsidP="00E26647">
            <w:pPr>
              <w:autoSpaceDE w:val="0"/>
              <w:autoSpaceDN w:val="0"/>
              <w:adjustRightInd w:val="0"/>
              <w:spacing w:line="30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电动自行车</w:t>
            </w:r>
          </w:p>
        </w:tc>
        <w:tc>
          <w:tcPr>
            <w:tcW w:w="6002" w:type="dxa"/>
            <w:vAlign w:val="center"/>
          </w:tcPr>
          <w:p w:rsidR="00E26647" w:rsidRPr="00253BBD" w:rsidRDefault="00E26647" w:rsidP="00E26647">
            <w:pPr>
              <w:autoSpaceDE w:val="0"/>
              <w:autoSpaceDN w:val="0"/>
              <w:adjustRightInd w:val="0"/>
              <w:spacing w:line="300" w:lineRule="exact"/>
              <w:rPr>
                <w:rFonts w:ascii="仿宋_GB2312" w:eastAsia="仿宋_GB2312" w:hAnsi="宋体"/>
                <w:color w:val="000000"/>
                <w:szCs w:val="21"/>
              </w:rPr>
            </w:pPr>
            <w:r w:rsidRPr="00253BBD">
              <w:rPr>
                <w:rFonts w:ascii="仿宋_GB2312" w:eastAsia="仿宋_GB2312" w:hAnsi="宋体" w:hint="eastAsia"/>
                <w:color w:val="000000"/>
                <w:szCs w:val="21"/>
              </w:rPr>
              <w:t>以蓄电池作为辅助能源，具有两个车轮，能实现人力骑行、电动或电助动功能的特种自行车。</w:t>
            </w:r>
          </w:p>
        </w:tc>
      </w:tr>
    </w:tbl>
    <w:p w:rsidR="00E26647" w:rsidRPr="00253BBD" w:rsidRDefault="00E26647" w:rsidP="00E26647">
      <w:pPr>
        <w:snapToGrid w:val="0"/>
        <w:spacing w:line="360" w:lineRule="auto"/>
        <w:rPr>
          <w:rFonts w:ascii="仿宋_GB2312" w:eastAsia="仿宋_GB2312" w:hAnsi="宋体"/>
          <w:b/>
          <w:color w:val="000000"/>
          <w:sz w:val="28"/>
          <w:szCs w:val="28"/>
        </w:rPr>
      </w:pPr>
    </w:p>
    <w:p w:rsidR="00D35D12" w:rsidRDefault="00E26647" w:rsidP="00D35D12">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4 检验依据</w:t>
      </w:r>
    </w:p>
    <w:p w:rsidR="00E26647" w:rsidRPr="00253BBD" w:rsidRDefault="00E26647" w:rsidP="00D35D12">
      <w:pPr>
        <w:snapToGrid w:val="0"/>
        <w:spacing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凡是注日期的文件，其随后所有的修改单（不包括勘误的内容）或修订版不适用于本规范。凡是不注日期的引用文件，其最新版本适用于本规范。</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3690"/>
        <w:gridCol w:w="2430"/>
      </w:tblGrid>
      <w:tr w:rsidR="00E26647" w:rsidRPr="00AF6721" w:rsidTr="00D35D12">
        <w:trPr>
          <w:trHeight w:val="576"/>
          <w:jc w:val="center"/>
        </w:trPr>
        <w:tc>
          <w:tcPr>
            <w:tcW w:w="2229" w:type="dxa"/>
            <w:vAlign w:val="center"/>
          </w:tcPr>
          <w:p w:rsidR="00E26647" w:rsidRPr="00D35D12" w:rsidRDefault="00E26647" w:rsidP="00D35D12">
            <w:pPr>
              <w:snapToGrid w:val="0"/>
              <w:jc w:val="center"/>
              <w:rPr>
                <w:rFonts w:ascii="黑体" w:eastAsia="黑体" w:hAnsi="黑体"/>
                <w:color w:val="000000"/>
                <w:sz w:val="22"/>
                <w:szCs w:val="21"/>
              </w:rPr>
            </w:pPr>
            <w:r w:rsidRPr="00D35D12">
              <w:rPr>
                <w:rFonts w:ascii="黑体" w:eastAsia="黑体" w:hAnsi="黑体" w:hint="eastAsia"/>
                <w:color w:val="000000"/>
                <w:sz w:val="22"/>
                <w:szCs w:val="21"/>
              </w:rPr>
              <w:t>文本号</w:t>
            </w:r>
          </w:p>
        </w:tc>
        <w:tc>
          <w:tcPr>
            <w:tcW w:w="3690" w:type="dxa"/>
            <w:vAlign w:val="center"/>
          </w:tcPr>
          <w:p w:rsidR="00E26647" w:rsidRPr="00D35D12" w:rsidRDefault="00E26647" w:rsidP="00D35D12">
            <w:pPr>
              <w:snapToGrid w:val="0"/>
              <w:jc w:val="center"/>
              <w:rPr>
                <w:rFonts w:ascii="黑体" w:eastAsia="黑体" w:hAnsi="黑体"/>
                <w:color w:val="000000"/>
                <w:sz w:val="22"/>
                <w:szCs w:val="21"/>
              </w:rPr>
            </w:pPr>
            <w:r w:rsidRPr="00D35D12">
              <w:rPr>
                <w:rFonts w:ascii="黑体" w:eastAsia="黑体" w:hAnsi="黑体" w:hint="eastAsia"/>
                <w:color w:val="000000"/>
                <w:sz w:val="22"/>
                <w:szCs w:val="21"/>
              </w:rPr>
              <w:t>标准/细则名称</w:t>
            </w:r>
          </w:p>
        </w:tc>
        <w:tc>
          <w:tcPr>
            <w:tcW w:w="2430" w:type="dxa"/>
            <w:vAlign w:val="center"/>
          </w:tcPr>
          <w:p w:rsidR="00E26647" w:rsidRPr="00D35D12" w:rsidRDefault="00E26647" w:rsidP="00D35D12">
            <w:pPr>
              <w:snapToGrid w:val="0"/>
              <w:jc w:val="center"/>
              <w:rPr>
                <w:rFonts w:ascii="黑体" w:eastAsia="黑体" w:hAnsi="黑体"/>
                <w:color w:val="000000"/>
                <w:sz w:val="22"/>
                <w:szCs w:val="21"/>
              </w:rPr>
            </w:pPr>
            <w:r w:rsidRPr="00D35D12">
              <w:rPr>
                <w:rFonts w:ascii="黑体" w:eastAsia="黑体" w:hAnsi="黑体" w:hint="eastAsia"/>
                <w:color w:val="000000"/>
                <w:sz w:val="22"/>
                <w:szCs w:val="21"/>
              </w:rPr>
              <w:t>请在已获资质处划勾</w:t>
            </w:r>
          </w:p>
        </w:tc>
      </w:tr>
      <w:tr w:rsidR="00E26647" w:rsidRPr="00AF6721" w:rsidTr="00D35D12">
        <w:trPr>
          <w:jc w:val="center"/>
        </w:trPr>
        <w:tc>
          <w:tcPr>
            <w:tcW w:w="2229" w:type="dxa"/>
            <w:vAlign w:val="center"/>
          </w:tcPr>
          <w:p w:rsidR="00E26647" w:rsidRPr="00AF6721" w:rsidRDefault="00E26647" w:rsidP="00D35D12">
            <w:pPr>
              <w:spacing w:before="50"/>
              <w:jc w:val="left"/>
              <w:rPr>
                <w:rFonts w:ascii="仿宋_GB2312" w:eastAsia="仿宋_GB2312" w:hAnsi="宋体"/>
                <w:color w:val="000000"/>
                <w:szCs w:val="21"/>
              </w:rPr>
            </w:pPr>
            <w:r w:rsidRPr="00AF6721">
              <w:rPr>
                <w:rFonts w:ascii="仿宋_GB2312" w:eastAsia="仿宋_GB2312" w:hAnsi="宋体" w:hint="eastAsia"/>
                <w:color w:val="000000"/>
                <w:szCs w:val="21"/>
              </w:rPr>
              <w:lastRenderedPageBreak/>
              <w:t>GB17761-1999</w:t>
            </w:r>
          </w:p>
        </w:tc>
        <w:tc>
          <w:tcPr>
            <w:tcW w:w="3690" w:type="dxa"/>
            <w:vAlign w:val="center"/>
          </w:tcPr>
          <w:p w:rsidR="00E26647" w:rsidRPr="00AF6721" w:rsidRDefault="00E26647" w:rsidP="00D35D12">
            <w:pPr>
              <w:snapToGrid w:val="0"/>
              <w:jc w:val="left"/>
              <w:rPr>
                <w:rFonts w:ascii="仿宋_GB2312" w:eastAsia="仿宋_GB2312" w:hAnsi="宋体"/>
                <w:color w:val="000000"/>
                <w:szCs w:val="21"/>
              </w:rPr>
            </w:pPr>
            <w:r w:rsidRPr="00AF6721">
              <w:rPr>
                <w:rFonts w:ascii="仿宋_GB2312" w:eastAsia="仿宋_GB2312" w:hAnsi="宋体" w:hint="eastAsia"/>
                <w:color w:val="000000"/>
                <w:szCs w:val="21"/>
              </w:rPr>
              <w:t>《电动自行车通用技术条件》</w:t>
            </w:r>
          </w:p>
        </w:tc>
        <w:tc>
          <w:tcPr>
            <w:tcW w:w="2430" w:type="dxa"/>
            <w:vAlign w:val="center"/>
          </w:tcPr>
          <w:p w:rsidR="00E26647" w:rsidRPr="00AF6721" w:rsidRDefault="00E26647" w:rsidP="00D35D12">
            <w:pPr>
              <w:snapToGrid w:val="0"/>
              <w:jc w:val="center"/>
              <w:rPr>
                <w:rFonts w:ascii="仿宋_GB2312" w:eastAsia="仿宋_GB2312" w:hAnsi="宋体"/>
                <w:color w:val="000000"/>
                <w:szCs w:val="21"/>
              </w:rPr>
            </w:pPr>
            <w:r w:rsidRPr="00AF6721">
              <w:rPr>
                <w:rFonts w:ascii="宋体" w:hint="eastAsia"/>
                <w:color w:val="000000"/>
                <w:szCs w:val="21"/>
              </w:rPr>
              <w:sym w:font="Wingdings 2" w:char="F052"/>
            </w:r>
            <w:r w:rsidRPr="00AF6721">
              <w:rPr>
                <w:rFonts w:ascii="仿宋_GB2312" w:eastAsia="仿宋_GB2312" w:hAnsi="宋体" w:hint="eastAsia"/>
                <w:color w:val="000000"/>
                <w:szCs w:val="21"/>
              </w:rPr>
              <w:t xml:space="preserve">CMA  </w:t>
            </w:r>
            <w:r w:rsidRPr="00AF6721">
              <w:rPr>
                <w:rFonts w:ascii="宋体" w:hint="eastAsia"/>
                <w:color w:val="000000"/>
                <w:szCs w:val="21"/>
              </w:rPr>
              <w:sym w:font="Wingdings 2" w:char="F052"/>
            </w:r>
            <w:r w:rsidRPr="00AF6721">
              <w:rPr>
                <w:rFonts w:ascii="仿宋_GB2312" w:eastAsia="仿宋_GB2312" w:hAnsi="宋体" w:hint="eastAsia"/>
                <w:color w:val="000000"/>
                <w:szCs w:val="21"/>
              </w:rPr>
              <w:t xml:space="preserve">CAL </w:t>
            </w:r>
            <w:r w:rsidRPr="00AF6721">
              <w:rPr>
                <w:rFonts w:ascii="宋体" w:hint="eastAsia"/>
                <w:color w:val="000000"/>
                <w:szCs w:val="21"/>
              </w:rPr>
              <w:sym w:font="Wingdings 2" w:char="F052"/>
            </w:r>
            <w:r w:rsidRPr="00AF6721">
              <w:rPr>
                <w:rFonts w:ascii="仿宋_GB2312" w:eastAsia="仿宋_GB2312" w:hAnsi="宋体" w:hint="eastAsia"/>
                <w:color w:val="000000"/>
                <w:szCs w:val="21"/>
              </w:rPr>
              <w:t>CNAS</w:t>
            </w:r>
          </w:p>
        </w:tc>
      </w:tr>
      <w:tr w:rsidR="00E26647" w:rsidRPr="00AF6721" w:rsidTr="00D35D12">
        <w:trPr>
          <w:jc w:val="center"/>
        </w:trPr>
        <w:tc>
          <w:tcPr>
            <w:tcW w:w="2229" w:type="dxa"/>
            <w:vAlign w:val="center"/>
          </w:tcPr>
          <w:p w:rsidR="00E26647" w:rsidRPr="00AF6721" w:rsidRDefault="00E26647" w:rsidP="00D35D12">
            <w:pPr>
              <w:spacing w:before="50"/>
              <w:jc w:val="left"/>
              <w:rPr>
                <w:rFonts w:ascii="仿宋_GB2312" w:eastAsia="仿宋_GB2312" w:hAnsi="宋体"/>
                <w:color w:val="000000"/>
                <w:szCs w:val="21"/>
              </w:rPr>
            </w:pPr>
            <w:r w:rsidRPr="004E562D">
              <w:rPr>
                <w:rFonts w:ascii="仿宋_GB2312" w:eastAsia="仿宋_GB2312" w:hAnsi="宋体" w:hint="eastAsia"/>
                <w:color w:val="000000"/>
                <w:szCs w:val="21"/>
              </w:rPr>
              <w:t>(X)XK16-002</w:t>
            </w:r>
            <w:r>
              <w:rPr>
                <w:rFonts w:ascii="仿宋_GB2312" w:eastAsia="仿宋_GB2312" w:hAnsi="宋体" w:hint="eastAsia"/>
                <w:color w:val="000000"/>
                <w:szCs w:val="21"/>
              </w:rPr>
              <w:t>-2013</w:t>
            </w:r>
          </w:p>
        </w:tc>
        <w:tc>
          <w:tcPr>
            <w:tcW w:w="3690" w:type="dxa"/>
            <w:vAlign w:val="center"/>
          </w:tcPr>
          <w:p w:rsidR="00E26647" w:rsidRPr="00AF6721" w:rsidRDefault="00E26647" w:rsidP="00D35D12">
            <w:pPr>
              <w:snapToGrid w:val="0"/>
              <w:jc w:val="left"/>
              <w:rPr>
                <w:rFonts w:ascii="仿宋_GB2312" w:eastAsia="仿宋_GB2312" w:hAnsi="宋体"/>
                <w:color w:val="000000"/>
                <w:szCs w:val="21"/>
              </w:rPr>
            </w:pPr>
            <w:r w:rsidRPr="004E562D">
              <w:rPr>
                <w:rFonts w:ascii="仿宋_GB2312" w:eastAsia="仿宋_GB2312" w:hAnsi="宋体" w:hint="eastAsia"/>
                <w:color w:val="000000"/>
                <w:szCs w:val="21"/>
              </w:rPr>
              <w:t>《助力车产品生产许可证实施细则》</w:t>
            </w:r>
          </w:p>
        </w:tc>
        <w:tc>
          <w:tcPr>
            <w:tcW w:w="2430" w:type="dxa"/>
            <w:vAlign w:val="center"/>
          </w:tcPr>
          <w:p w:rsidR="00E26647" w:rsidRPr="004E562D" w:rsidRDefault="00E26647" w:rsidP="00D35D12">
            <w:pPr>
              <w:snapToGrid w:val="0"/>
              <w:jc w:val="center"/>
              <w:rPr>
                <w:rFonts w:ascii="仿宋_GB2312" w:eastAsia="仿宋_GB2312" w:hAnsi="宋体"/>
                <w:color w:val="000000"/>
                <w:szCs w:val="21"/>
              </w:rPr>
            </w:pPr>
            <w:r w:rsidRPr="004E562D">
              <w:rPr>
                <w:rFonts w:ascii="仿宋_GB2312" w:eastAsia="仿宋_GB2312" w:hAnsi="宋体" w:hint="eastAsia"/>
                <w:color w:val="000000"/>
                <w:szCs w:val="21"/>
              </w:rPr>
              <w:t>——</w:t>
            </w:r>
          </w:p>
        </w:tc>
      </w:tr>
    </w:tbl>
    <w:p w:rsidR="00D35D12" w:rsidRDefault="00D35D12" w:rsidP="00E26647">
      <w:pPr>
        <w:snapToGrid w:val="0"/>
        <w:spacing w:line="360" w:lineRule="auto"/>
        <w:ind w:firstLineChars="200" w:firstLine="560"/>
        <w:rPr>
          <w:rFonts w:ascii="仿宋_GB2312" w:eastAsia="仿宋_GB2312" w:hAnsi="宋体"/>
          <w:color w:val="000000"/>
          <w:sz w:val="28"/>
          <w:szCs w:val="28"/>
        </w:rPr>
      </w:pPr>
    </w:p>
    <w:p w:rsidR="00E26647" w:rsidRPr="00253BBD" w:rsidRDefault="00E26647" w:rsidP="00E26647">
      <w:pPr>
        <w:snapToGrid w:val="0"/>
        <w:spacing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相关产品的强制性标准、行业标准、政府法规及产品的明示标准（包括备案的企业标准）和明示担保内容。</w:t>
      </w: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5抽样</w:t>
      </w: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5.1抽样型号或规格</w:t>
      </w:r>
    </w:p>
    <w:p w:rsidR="00E26647" w:rsidRPr="00253BBD" w:rsidRDefault="00E26647" w:rsidP="00E26647">
      <w:pPr>
        <w:snapToGrid w:val="0"/>
        <w:spacing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抽样型号或规格应符合GB 17761的规定，优先抽取企业主产的型号规格。抽取样品须为同一型号规格，同一批次的产品。</w:t>
      </w: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5.2抽样方法</w:t>
      </w:r>
    </w:p>
    <w:p w:rsidR="00E26647" w:rsidRPr="00253BBD" w:rsidRDefault="00E26647" w:rsidP="00E26647">
      <w:pPr>
        <w:snapToGrid w:val="0"/>
        <w:spacing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在生产企业的成品库内、生产线末端或市场上随机抽取经企业检验合格或以任何方式表明已检验合格的并在国内销售的成品。</w:t>
      </w:r>
    </w:p>
    <w:p w:rsidR="00E26647" w:rsidRPr="00253BBD" w:rsidRDefault="00E26647" w:rsidP="00E26647">
      <w:pPr>
        <w:snapToGrid w:val="0"/>
        <w:spacing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注：抽样时，需确认样品是否在说明书中明示了欠压、过流保护值参数，若企业未作明示，则应让企业当场提供样品的欠压、过流保护值参数。</w:t>
      </w: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5.3抽样基数</w:t>
      </w:r>
    </w:p>
    <w:p w:rsidR="00E26647" w:rsidRPr="00253BBD" w:rsidRDefault="00E26647" w:rsidP="00E26647">
      <w:pPr>
        <w:snapToGrid w:val="0"/>
        <w:spacing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本规范规定</w:t>
      </w:r>
      <w:r w:rsidRPr="00253BBD">
        <w:rPr>
          <w:rFonts w:ascii="仿宋_GB2312" w:eastAsia="仿宋_GB2312" w:hAnsi="宋体"/>
          <w:color w:val="000000"/>
          <w:sz w:val="28"/>
          <w:szCs w:val="28"/>
        </w:rPr>
        <w:t>在企业的成品库</w:t>
      </w:r>
      <w:r w:rsidRPr="00253BBD">
        <w:rPr>
          <w:rFonts w:ascii="仿宋_GB2312" w:eastAsia="仿宋_GB2312" w:hAnsi="宋体" w:hint="eastAsia"/>
          <w:color w:val="000000"/>
          <w:sz w:val="28"/>
          <w:szCs w:val="28"/>
        </w:rPr>
        <w:t>房、生产车间成品区或市场抽样时，抽样基数满足抽样数量即可。</w:t>
      </w: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5.4抽样数量</w:t>
      </w:r>
    </w:p>
    <w:p w:rsidR="00E26647" w:rsidRPr="00253BBD" w:rsidRDefault="00E26647" w:rsidP="00E26647">
      <w:pPr>
        <w:snapToGrid w:val="0"/>
        <w:spacing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生产领域中对同一规格、同一批次的合格待销产品中随机抽取</w:t>
      </w:r>
      <w:r>
        <w:rPr>
          <w:rFonts w:ascii="仿宋_GB2312" w:eastAsia="仿宋_GB2312" w:hAnsi="宋体" w:hint="eastAsia"/>
          <w:color w:val="000000"/>
          <w:sz w:val="28"/>
          <w:szCs w:val="28"/>
        </w:rPr>
        <w:t>2台</w:t>
      </w:r>
      <w:r w:rsidRPr="00253BBD">
        <w:rPr>
          <w:rFonts w:ascii="仿宋_GB2312" w:eastAsia="仿宋_GB2312" w:hAnsi="宋体" w:hint="eastAsia"/>
          <w:color w:val="000000"/>
          <w:sz w:val="28"/>
          <w:szCs w:val="28"/>
        </w:rPr>
        <w:t>样品，其中</w:t>
      </w:r>
      <w:r>
        <w:rPr>
          <w:rFonts w:ascii="仿宋_GB2312" w:eastAsia="仿宋_GB2312" w:hAnsi="宋体" w:hint="eastAsia"/>
          <w:color w:val="000000"/>
          <w:sz w:val="28"/>
          <w:szCs w:val="28"/>
        </w:rPr>
        <w:t>1台</w:t>
      </w:r>
      <w:r w:rsidRPr="00253BBD">
        <w:rPr>
          <w:rFonts w:ascii="仿宋_GB2312" w:eastAsia="仿宋_GB2312" w:hAnsi="宋体" w:hint="eastAsia"/>
          <w:color w:val="000000"/>
          <w:sz w:val="28"/>
          <w:szCs w:val="28"/>
        </w:rPr>
        <w:t>为检验样品，</w:t>
      </w:r>
      <w:r>
        <w:rPr>
          <w:rFonts w:ascii="仿宋_GB2312" w:eastAsia="仿宋_GB2312" w:hAnsi="宋体" w:hint="eastAsia"/>
          <w:color w:val="000000"/>
          <w:sz w:val="28"/>
          <w:szCs w:val="28"/>
        </w:rPr>
        <w:t>1台</w:t>
      </w:r>
      <w:r w:rsidRPr="00253BBD">
        <w:rPr>
          <w:rFonts w:ascii="仿宋_GB2312" w:eastAsia="仿宋_GB2312" w:hAnsi="宋体" w:hint="eastAsia"/>
          <w:color w:val="000000"/>
          <w:sz w:val="28"/>
          <w:szCs w:val="28"/>
        </w:rPr>
        <w:t>作为留样</w:t>
      </w:r>
      <w:r>
        <w:rPr>
          <w:rFonts w:ascii="仿宋_GB2312" w:eastAsia="仿宋_GB2312" w:hAnsi="宋体" w:hint="eastAsia"/>
          <w:color w:val="000000"/>
          <w:sz w:val="28"/>
          <w:szCs w:val="28"/>
        </w:rPr>
        <w:t>，均带回承检机构</w:t>
      </w:r>
      <w:r w:rsidRPr="00253BBD">
        <w:rPr>
          <w:rFonts w:ascii="仿宋_GB2312" w:eastAsia="仿宋_GB2312" w:hAnsi="宋体" w:hint="eastAsia"/>
          <w:color w:val="000000"/>
          <w:sz w:val="28"/>
          <w:szCs w:val="28"/>
        </w:rPr>
        <w:t>。</w:t>
      </w:r>
    </w:p>
    <w:p w:rsidR="00E26647" w:rsidRPr="00253BBD" w:rsidRDefault="00E26647" w:rsidP="00E26647">
      <w:pPr>
        <w:snapToGrid w:val="0"/>
        <w:spacing w:line="360" w:lineRule="auto"/>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流通领域中对同一规格、同一批次的合格待销产品中随机抽取</w:t>
      </w:r>
      <w:r>
        <w:rPr>
          <w:rFonts w:ascii="仿宋_GB2312" w:eastAsia="仿宋_GB2312" w:hAnsi="宋体" w:hint="eastAsia"/>
          <w:color w:val="000000"/>
          <w:sz w:val="28"/>
          <w:szCs w:val="28"/>
        </w:rPr>
        <w:t>2</w:t>
      </w:r>
      <w:r w:rsidRPr="00253BBD">
        <w:rPr>
          <w:rFonts w:ascii="仿宋_GB2312" w:eastAsia="仿宋_GB2312" w:hAnsi="宋体" w:hint="eastAsia"/>
          <w:color w:val="000000"/>
          <w:sz w:val="28"/>
          <w:szCs w:val="28"/>
        </w:rPr>
        <w:t>辆样品，其中</w:t>
      </w:r>
      <w:r>
        <w:rPr>
          <w:rFonts w:ascii="仿宋_GB2312" w:eastAsia="仿宋_GB2312" w:hAnsi="宋体" w:hint="eastAsia"/>
          <w:color w:val="000000"/>
          <w:sz w:val="28"/>
          <w:szCs w:val="28"/>
        </w:rPr>
        <w:t>1台</w:t>
      </w:r>
      <w:r w:rsidRPr="00253BBD">
        <w:rPr>
          <w:rFonts w:ascii="仿宋_GB2312" w:eastAsia="仿宋_GB2312" w:hAnsi="宋体" w:hint="eastAsia"/>
          <w:color w:val="000000"/>
          <w:sz w:val="28"/>
          <w:szCs w:val="28"/>
        </w:rPr>
        <w:t>为检验样品</w:t>
      </w:r>
      <w:r>
        <w:rPr>
          <w:rFonts w:ascii="仿宋_GB2312" w:eastAsia="仿宋_GB2312" w:hAnsi="宋体" w:hint="eastAsia"/>
          <w:color w:val="000000"/>
          <w:sz w:val="28"/>
          <w:szCs w:val="28"/>
        </w:rPr>
        <w:t>带回承检机构</w:t>
      </w:r>
      <w:r w:rsidRPr="00253BBD">
        <w:rPr>
          <w:rFonts w:ascii="仿宋_GB2312" w:eastAsia="仿宋_GB2312" w:hAnsi="宋体" w:hint="eastAsia"/>
          <w:color w:val="000000"/>
          <w:sz w:val="28"/>
          <w:szCs w:val="28"/>
        </w:rPr>
        <w:t>，1</w:t>
      </w:r>
      <w:r>
        <w:rPr>
          <w:rFonts w:ascii="仿宋_GB2312" w:eastAsia="仿宋_GB2312" w:hAnsi="宋体" w:hint="eastAsia"/>
          <w:color w:val="000000"/>
          <w:sz w:val="28"/>
          <w:szCs w:val="28"/>
        </w:rPr>
        <w:t>台</w:t>
      </w:r>
      <w:r w:rsidRPr="00253BBD">
        <w:rPr>
          <w:rFonts w:ascii="仿宋_GB2312" w:eastAsia="仿宋_GB2312" w:hAnsi="宋体" w:hint="eastAsia"/>
          <w:color w:val="000000"/>
          <w:sz w:val="28"/>
          <w:szCs w:val="28"/>
        </w:rPr>
        <w:t>作为留样</w:t>
      </w:r>
      <w:r>
        <w:rPr>
          <w:rFonts w:ascii="仿宋_GB2312" w:eastAsia="仿宋_GB2312" w:hAnsi="宋体" w:hint="eastAsia"/>
          <w:color w:val="000000"/>
          <w:sz w:val="28"/>
          <w:szCs w:val="28"/>
        </w:rPr>
        <w:t>封存在受检单位</w:t>
      </w:r>
      <w:r w:rsidRPr="00253BBD">
        <w:rPr>
          <w:rFonts w:ascii="仿宋_GB2312" w:eastAsia="仿宋_GB2312" w:hAnsi="宋体" w:hint="eastAsia"/>
          <w:color w:val="000000"/>
          <w:sz w:val="28"/>
          <w:szCs w:val="28"/>
        </w:rPr>
        <w:t>。</w:t>
      </w: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5.5样品处置</w:t>
      </w:r>
    </w:p>
    <w:p w:rsidR="00E26647" w:rsidRPr="00253BBD" w:rsidRDefault="00E26647" w:rsidP="00E26647">
      <w:pPr>
        <w:spacing w:line="440" w:lineRule="exact"/>
        <w:ind w:firstLineChars="200" w:firstLine="560"/>
        <w:rPr>
          <w:rFonts w:ascii="仿宋_GB2312" w:eastAsia="仿宋_GB2312" w:hAnsi="宋体"/>
          <w:color w:val="000000"/>
          <w:sz w:val="28"/>
          <w:szCs w:val="28"/>
        </w:rPr>
      </w:pPr>
      <w:r w:rsidRPr="00253BBD">
        <w:rPr>
          <w:rFonts w:ascii="仿宋_GB2312" w:eastAsia="仿宋_GB2312" w:hAnsi="宋体" w:hint="eastAsia"/>
          <w:color w:val="000000"/>
          <w:sz w:val="28"/>
          <w:szCs w:val="28"/>
        </w:rPr>
        <w:t>样品处置方式见表3。</w:t>
      </w:r>
    </w:p>
    <w:p w:rsidR="00E26647" w:rsidRPr="00AB03A8" w:rsidRDefault="00E26647" w:rsidP="00AB03A8">
      <w:pPr>
        <w:snapToGrid w:val="0"/>
        <w:spacing w:line="360" w:lineRule="auto"/>
        <w:jc w:val="center"/>
        <w:rPr>
          <w:rFonts w:ascii="黑体" w:eastAsia="黑体" w:hAnsi="黑体"/>
          <w:color w:val="000000"/>
          <w:sz w:val="24"/>
          <w:szCs w:val="28"/>
        </w:rPr>
      </w:pPr>
      <w:r w:rsidRPr="00AB03A8">
        <w:rPr>
          <w:rFonts w:ascii="黑体" w:eastAsia="黑体" w:hAnsi="黑体" w:hint="eastAsia"/>
          <w:color w:val="000000"/>
          <w:sz w:val="24"/>
          <w:szCs w:val="28"/>
        </w:rPr>
        <w:t>表3</w:t>
      </w:r>
      <w:r w:rsidR="00AB03A8">
        <w:rPr>
          <w:rFonts w:ascii="黑体" w:eastAsia="黑体" w:hAnsi="黑体" w:hint="eastAsia"/>
          <w:color w:val="000000"/>
          <w:sz w:val="24"/>
          <w:szCs w:val="28"/>
        </w:rPr>
        <w:t xml:space="preserve">  </w:t>
      </w:r>
      <w:r w:rsidRPr="00AB03A8">
        <w:rPr>
          <w:rFonts w:ascii="黑体" w:eastAsia="黑体" w:hAnsi="黑体" w:hint="eastAsia"/>
          <w:color w:val="000000"/>
          <w:sz w:val="24"/>
          <w:szCs w:val="28"/>
        </w:rPr>
        <w:t>样品处置</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365"/>
        <w:gridCol w:w="6972"/>
      </w:tblGrid>
      <w:tr w:rsidR="00E26647" w:rsidRPr="00253BBD" w:rsidTr="00E26647">
        <w:trPr>
          <w:cantSplit/>
          <w:jc w:val="center"/>
        </w:trPr>
        <w:tc>
          <w:tcPr>
            <w:tcW w:w="827" w:type="dxa"/>
          </w:tcPr>
          <w:p w:rsidR="00E26647" w:rsidRPr="00D35D12" w:rsidRDefault="00E26647" w:rsidP="00E26647">
            <w:pPr>
              <w:spacing w:line="320" w:lineRule="exact"/>
              <w:jc w:val="center"/>
              <w:rPr>
                <w:rFonts w:ascii="黑体" w:eastAsia="黑体" w:hAnsi="黑体"/>
                <w:color w:val="000000"/>
                <w:szCs w:val="21"/>
              </w:rPr>
            </w:pPr>
            <w:r w:rsidRPr="00D35D12">
              <w:rPr>
                <w:rFonts w:ascii="黑体" w:eastAsia="黑体" w:hAnsi="黑体" w:hint="eastAsia"/>
                <w:color w:val="000000"/>
                <w:szCs w:val="21"/>
              </w:rPr>
              <w:t>序号</w:t>
            </w:r>
          </w:p>
        </w:tc>
        <w:tc>
          <w:tcPr>
            <w:tcW w:w="1365" w:type="dxa"/>
            <w:vAlign w:val="center"/>
          </w:tcPr>
          <w:p w:rsidR="00E26647" w:rsidRPr="00D35D12" w:rsidRDefault="00E26647" w:rsidP="00E26647">
            <w:pPr>
              <w:spacing w:line="320" w:lineRule="exact"/>
              <w:jc w:val="center"/>
              <w:rPr>
                <w:rFonts w:ascii="黑体" w:eastAsia="黑体" w:hAnsi="黑体"/>
                <w:color w:val="000000"/>
                <w:szCs w:val="21"/>
              </w:rPr>
            </w:pPr>
            <w:r w:rsidRPr="00D35D12">
              <w:rPr>
                <w:rFonts w:ascii="黑体" w:eastAsia="黑体" w:hAnsi="黑体" w:hint="eastAsia"/>
                <w:color w:val="000000"/>
                <w:szCs w:val="21"/>
              </w:rPr>
              <w:t>项目</w:t>
            </w:r>
          </w:p>
        </w:tc>
        <w:tc>
          <w:tcPr>
            <w:tcW w:w="6972" w:type="dxa"/>
            <w:vAlign w:val="center"/>
          </w:tcPr>
          <w:p w:rsidR="00E26647" w:rsidRPr="00D35D12" w:rsidRDefault="00E26647" w:rsidP="00D35D12">
            <w:pPr>
              <w:spacing w:line="320" w:lineRule="exact"/>
              <w:jc w:val="center"/>
              <w:rPr>
                <w:rFonts w:ascii="黑体" w:eastAsia="黑体" w:hAnsi="黑体"/>
                <w:color w:val="000000"/>
                <w:szCs w:val="21"/>
              </w:rPr>
            </w:pPr>
            <w:r w:rsidRPr="00D35D12">
              <w:rPr>
                <w:rFonts w:ascii="黑体" w:eastAsia="黑体" w:hAnsi="黑体" w:hint="eastAsia"/>
                <w:color w:val="000000"/>
                <w:szCs w:val="21"/>
              </w:rPr>
              <w:t>内容</w:t>
            </w:r>
          </w:p>
        </w:tc>
      </w:tr>
      <w:tr w:rsidR="00E26647" w:rsidRPr="00253BBD" w:rsidTr="00E26647">
        <w:trPr>
          <w:cantSplit/>
          <w:jc w:val="center"/>
        </w:trPr>
        <w:tc>
          <w:tcPr>
            <w:tcW w:w="827"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1</w:t>
            </w:r>
          </w:p>
        </w:tc>
        <w:tc>
          <w:tcPr>
            <w:tcW w:w="1365"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防换样措施</w:t>
            </w:r>
          </w:p>
        </w:tc>
        <w:tc>
          <w:tcPr>
            <w:tcW w:w="6972" w:type="dxa"/>
            <w:vAlign w:val="center"/>
          </w:tcPr>
          <w:p w:rsidR="00E26647" w:rsidRPr="00253BBD" w:rsidRDefault="00E26647" w:rsidP="00E26647">
            <w:pPr>
              <w:spacing w:line="320" w:lineRule="exact"/>
              <w:rPr>
                <w:rFonts w:ascii="仿宋_GB2312" w:eastAsia="仿宋_GB2312" w:hAnsi="宋体"/>
                <w:color w:val="000000"/>
                <w:szCs w:val="21"/>
              </w:rPr>
            </w:pPr>
            <w:r w:rsidRPr="00253BBD">
              <w:rPr>
                <w:rFonts w:ascii="仿宋_GB2312" w:eastAsia="仿宋_GB2312" w:hAnsi="宋体" w:hint="eastAsia"/>
                <w:color w:val="000000"/>
                <w:szCs w:val="21"/>
              </w:rPr>
              <w:t>在样车车架、前叉、车把、电机等关键件的合适部位施加封样标识。</w:t>
            </w:r>
          </w:p>
        </w:tc>
      </w:tr>
      <w:tr w:rsidR="00E26647" w:rsidRPr="00253BBD" w:rsidTr="00E26647">
        <w:trPr>
          <w:cantSplit/>
          <w:jc w:val="center"/>
        </w:trPr>
        <w:tc>
          <w:tcPr>
            <w:tcW w:w="827"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2</w:t>
            </w:r>
          </w:p>
        </w:tc>
        <w:tc>
          <w:tcPr>
            <w:tcW w:w="1365"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包装</w:t>
            </w:r>
          </w:p>
        </w:tc>
        <w:tc>
          <w:tcPr>
            <w:tcW w:w="6972" w:type="dxa"/>
            <w:vAlign w:val="center"/>
          </w:tcPr>
          <w:p w:rsidR="00E26647" w:rsidRPr="00253BBD" w:rsidRDefault="00E26647" w:rsidP="00E26647">
            <w:pPr>
              <w:spacing w:line="320" w:lineRule="exact"/>
              <w:rPr>
                <w:rFonts w:ascii="仿宋_GB2312" w:eastAsia="仿宋_GB2312" w:hAnsi="宋体"/>
                <w:color w:val="000000"/>
                <w:szCs w:val="21"/>
              </w:rPr>
            </w:pPr>
            <w:r w:rsidRPr="00253BBD">
              <w:rPr>
                <w:rFonts w:ascii="仿宋_GB2312" w:eastAsia="仿宋_GB2312" w:hAnsi="宋体" w:hint="eastAsia"/>
                <w:color w:val="000000"/>
                <w:szCs w:val="21"/>
              </w:rPr>
              <w:t>将样车用纸箱包装捆扎好，注意随车配附件（脚蹬、充电器等）应齐全，装箱前应注意切断样车主电路开关。</w:t>
            </w:r>
          </w:p>
        </w:tc>
      </w:tr>
      <w:tr w:rsidR="00E26647" w:rsidRPr="00253BBD" w:rsidTr="00E26647">
        <w:trPr>
          <w:cantSplit/>
          <w:jc w:val="center"/>
        </w:trPr>
        <w:tc>
          <w:tcPr>
            <w:tcW w:w="827"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3</w:t>
            </w:r>
          </w:p>
        </w:tc>
        <w:tc>
          <w:tcPr>
            <w:tcW w:w="1365"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封样</w:t>
            </w:r>
          </w:p>
        </w:tc>
        <w:tc>
          <w:tcPr>
            <w:tcW w:w="6972" w:type="dxa"/>
            <w:vAlign w:val="center"/>
          </w:tcPr>
          <w:p w:rsidR="00E26647" w:rsidRPr="00253BBD" w:rsidRDefault="00E26647" w:rsidP="00E26647">
            <w:pPr>
              <w:spacing w:line="320" w:lineRule="exact"/>
              <w:rPr>
                <w:rFonts w:ascii="仿宋_GB2312" w:eastAsia="仿宋_GB2312" w:hAnsi="宋体"/>
                <w:color w:val="000000"/>
                <w:szCs w:val="21"/>
              </w:rPr>
            </w:pPr>
            <w:r w:rsidRPr="00253BBD">
              <w:rPr>
                <w:rFonts w:ascii="仿宋_GB2312" w:eastAsia="仿宋_GB2312" w:hAnsi="宋体" w:hint="eastAsia"/>
                <w:color w:val="000000"/>
                <w:szCs w:val="21"/>
              </w:rPr>
              <w:t>抽样人员当场在捆扎好的包装纸箱上、下、左、右开口处粘贴封样单，封样单上应由抽样人员及企业有关人员签字，将封样单用胶粘带予以覆盖，以防止在正常运输搬运中损坏封样状态。</w:t>
            </w:r>
          </w:p>
        </w:tc>
      </w:tr>
      <w:tr w:rsidR="00E26647" w:rsidRPr="00253BBD" w:rsidTr="00E26647">
        <w:trPr>
          <w:cantSplit/>
          <w:jc w:val="center"/>
        </w:trPr>
        <w:tc>
          <w:tcPr>
            <w:tcW w:w="827"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4</w:t>
            </w:r>
          </w:p>
        </w:tc>
        <w:tc>
          <w:tcPr>
            <w:tcW w:w="1365"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样品运输</w:t>
            </w:r>
          </w:p>
        </w:tc>
        <w:tc>
          <w:tcPr>
            <w:tcW w:w="6972" w:type="dxa"/>
            <w:vAlign w:val="center"/>
          </w:tcPr>
          <w:p w:rsidR="00E26647" w:rsidRPr="00253BBD" w:rsidRDefault="00E26647" w:rsidP="00E26647">
            <w:pPr>
              <w:pStyle w:val="Char"/>
              <w:widowControl w:val="0"/>
              <w:spacing w:after="0" w:line="320" w:lineRule="exact"/>
              <w:rPr>
                <w:rFonts w:ascii="仿宋_GB2312" w:eastAsia="仿宋_GB2312" w:hAnsi="宋体"/>
                <w:color w:val="000000"/>
                <w:kern w:val="2"/>
                <w:sz w:val="21"/>
                <w:szCs w:val="21"/>
                <w:lang w:eastAsia="zh-CN"/>
              </w:rPr>
            </w:pPr>
            <w:r w:rsidRPr="00253BBD">
              <w:rPr>
                <w:rFonts w:ascii="仿宋_GB2312" w:eastAsia="仿宋_GB2312" w:hAnsi="宋体" w:hint="eastAsia"/>
                <w:color w:val="000000"/>
                <w:kern w:val="2"/>
                <w:sz w:val="21"/>
                <w:szCs w:val="21"/>
                <w:lang w:eastAsia="zh-CN"/>
              </w:rPr>
              <w:t>样品由抽样人负责送至指定的检验机构相关部门，如有必要，也可由抽样人员指定被抽查单位在规定时间内送到指定的检验机构相关部门。运输中应小心轻放，严禁雨淋，注意封样完整性。</w:t>
            </w:r>
          </w:p>
        </w:tc>
      </w:tr>
      <w:tr w:rsidR="00E26647" w:rsidRPr="00253BBD" w:rsidTr="00E26647">
        <w:trPr>
          <w:cantSplit/>
          <w:jc w:val="center"/>
        </w:trPr>
        <w:tc>
          <w:tcPr>
            <w:tcW w:w="827"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5</w:t>
            </w:r>
          </w:p>
        </w:tc>
        <w:tc>
          <w:tcPr>
            <w:tcW w:w="1365"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样品保存</w:t>
            </w:r>
          </w:p>
        </w:tc>
        <w:tc>
          <w:tcPr>
            <w:tcW w:w="6972" w:type="dxa"/>
            <w:vAlign w:val="center"/>
          </w:tcPr>
          <w:p w:rsidR="00E26647" w:rsidRPr="00253BBD" w:rsidRDefault="00E26647" w:rsidP="00E26647">
            <w:pPr>
              <w:pStyle w:val="Char"/>
              <w:widowControl w:val="0"/>
              <w:spacing w:after="0" w:line="320" w:lineRule="exact"/>
              <w:rPr>
                <w:rFonts w:ascii="仿宋_GB2312" w:eastAsia="仿宋_GB2312" w:hAnsi="宋体"/>
                <w:color w:val="000000"/>
                <w:kern w:val="2"/>
                <w:sz w:val="21"/>
                <w:szCs w:val="21"/>
                <w:lang w:eastAsia="zh-CN"/>
              </w:rPr>
            </w:pPr>
            <w:r w:rsidRPr="00253BBD">
              <w:rPr>
                <w:rFonts w:ascii="仿宋_GB2312" w:eastAsia="仿宋_GB2312" w:hAnsi="宋体" w:hint="eastAsia"/>
                <w:color w:val="000000"/>
                <w:kern w:val="2"/>
                <w:sz w:val="21"/>
                <w:szCs w:val="21"/>
                <w:lang w:eastAsia="zh-CN"/>
              </w:rPr>
              <w:t>样品保存应注意防火、防潮、防盗，储存仓库应有消防灭火器材。</w:t>
            </w:r>
          </w:p>
        </w:tc>
      </w:tr>
      <w:tr w:rsidR="00E26647" w:rsidRPr="00253BBD" w:rsidTr="00E26647">
        <w:trPr>
          <w:cantSplit/>
          <w:jc w:val="center"/>
        </w:trPr>
        <w:tc>
          <w:tcPr>
            <w:tcW w:w="827"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6</w:t>
            </w:r>
          </w:p>
        </w:tc>
        <w:tc>
          <w:tcPr>
            <w:tcW w:w="1365" w:type="dxa"/>
            <w:vAlign w:val="center"/>
          </w:tcPr>
          <w:p w:rsidR="00E26647" w:rsidRPr="00253BBD" w:rsidRDefault="00E26647" w:rsidP="00E26647">
            <w:pPr>
              <w:spacing w:line="320" w:lineRule="exact"/>
              <w:jc w:val="center"/>
              <w:rPr>
                <w:rFonts w:ascii="仿宋_GB2312" w:eastAsia="仿宋_GB2312" w:hAnsi="宋体"/>
                <w:color w:val="000000"/>
                <w:szCs w:val="21"/>
              </w:rPr>
            </w:pPr>
            <w:r w:rsidRPr="00253BBD">
              <w:rPr>
                <w:rFonts w:ascii="仿宋_GB2312" w:eastAsia="仿宋_GB2312" w:hAnsi="宋体" w:hint="eastAsia"/>
                <w:color w:val="000000"/>
                <w:szCs w:val="21"/>
              </w:rPr>
              <w:t>样品接收</w:t>
            </w:r>
          </w:p>
        </w:tc>
        <w:tc>
          <w:tcPr>
            <w:tcW w:w="6972" w:type="dxa"/>
            <w:vAlign w:val="center"/>
          </w:tcPr>
          <w:p w:rsidR="00E26647" w:rsidRPr="00253BBD" w:rsidRDefault="00E26647" w:rsidP="00E26647">
            <w:pPr>
              <w:pStyle w:val="Char"/>
              <w:widowControl w:val="0"/>
              <w:spacing w:after="0" w:line="320" w:lineRule="exact"/>
              <w:rPr>
                <w:rFonts w:ascii="仿宋_GB2312" w:eastAsia="仿宋_GB2312" w:hAnsi="宋体"/>
                <w:color w:val="000000"/>
                <w:kern w:val="2"/>
                <w:sz w:val="21"/>
                <w:szCs w:val="21"/>
                <w:lang w:eastAsia="zh-CN"/>
              </w:rPr>
            </w:pPr>
            <w:r w:rsidRPr="00253BBD">
              <w:rPr>
                <w:rFonts w:ascii="仿宋_GB2312" w:eastAsia="仿宋_GB2312" w:hAnsi="宋体"/>
                <w:color w:val="000000"/>
                <w:kern w:val="2"/>
                <w:sz w:val="21"/>
                <w:szCs w:val="21"/>
                <w:lang w:eastAsia="zh-CN"/>
              </w:rPr>
              <w:t>检验机构接收样品</w:t>
            </w:r>
            <w:r w:rsidRPr="00253BBD">
              <w:rPr>
                <w:rFonts w:ascii="仿宋_GB2312" w:eastAsia="仿宋_GB2312" w:hAnsi="宋体" w:hint="eastAsia"/>
                <w:color w:val="000000"/>
                <w:kern w:val="2"/>
                <w:sz w:val="21"/>
                <w:szCs w:val="21"/>
                <w:lang w:eastAsia="zh-CN"/>
              </w:rPr>
              <w:t>时</w:t>
            </w:r>
            <w:r w:rsidRPr="00253BBD">
              <w:rPr>
                <w:rFonts w:ascii="仿宋_GB2312" w:eastAsia="仿宋_GB2312" w:hAnsi="宋体"/>
                <w:color w:val="000000"/>
                <w:kern w:val="2"/>
                <w:sz w:val="21"/>
                <w:szCs w:val="21"/>
                <w:lang w:eastAsia="zh-CN"/>
              </w:rPr>
              <w:t>应当有专人负责检查、记录样品的外观、状态、封条有无破损及其他可能对检测结果或者综合判定产生影响的情况，并确认样品与抽样单的记录是否相符，对检测和备用样品分别加贴相应标识后入库。</w:t>
            </w:r>
          </w:p>
          <w:p w:rsidR="00E26647" w:rsidRPr="00253BBD" w:rsidRDefault="00E26647" w:rsidP="00E26647">
            <w:pPr>
              <w:pStyle w:val="Char"/>
              <w:widowControl w:val="0"/>
              <w:spacing w:after="0" w:line="320" w:lineRule="exact"/>
              <w:rPr>
                <w:rFonts w:ascii="仿宋_GB2312" w:eastAsia="仿宋_GB2312" w:hAnsi="宋体"/>
                <w:color w:val="000000"/>
                <w:kern w:val="2"/>
                <w:sz w:val="21"/>
                <w:szCs w:val="21"/>
                <w:lang w:eastAsia="zh-CN"/>
              </w:rPr>
            </w:pPr>
            <w:r w:rsidRPr="00253BBD">
              <w:rPr>
                <w:rFonts w:ascii="仿宋_GB2312" w:eastAsia="仿宋_GB2312" w:hAnsi="宋体" w:hint="eastAsia"/>
                <w:color w:val="000000"/>
                <w:kern w:val="2"/>
                <w:sz w:val="21"/>
                <w:szCs w:val="21"/>
                <w:lang w:eastAsia="zh-CN"/>
              </w:rPr>
              <w:t>若有证据证明私自换样的，按拒检处理。</w:t>
            </w:r>
          </w:p>
        </w:tc>
      </w:tr>
    </w:tbl>
    <w:p w:rsidR="00E26647" w:rsidRPr="00253BBD" w:rsidRDefault="00E26647" w:rsidP="00E26647">
      <w:pPr>
        <w:autoSpaceDE w:val="0"/>
        <w:autoSpaceDN w:val="0"/>
        <w:adjustRightIn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5.6抽样单</w:t>
      </w:r>
    </w:p>
    <w:p w:rsidR="00E26647" w:rsidRPr="00253BBD" w:rsidRDefault="00E26647" w:rsidP="00E26647">
      <w:pPr>
        <w:snapToGrid w:val="0"/>
        <w:spacing w:line="360" w:lineRule="auto"/>
        <w:ind w:firstLineChars="192" w:firstLine="538"/>
        <w:rPr>
          <w:rFonts w:ascii="仿宋_GB2312" w:eastAsia="仿宋_GB2312" w:hAnsi="宋体"/>
          <w:color w:val="000000"/>
          <w:sz w:val="28"/>
          <w:szCs w:val="28"/>
        </w:rPr>
      </w:pPr>
      <w:r w:rsidRPr="00253BBD">
        <w:rPr>
          <w:rFonts w:ascii="仿宋_GB2312" w:eastAsia="仿宋_GB2312" w:hAnsi="宋体" w:hint="eastAsia"/>
          <w:color w:val="000000"/>
          <w:sz w:val="28"/>
          <w:szCs w:val="28"/>
        </w:rPr>
        <w:t>应按有关规定填写抽样单，并记录被抽查产品及企业相关信息。同时记录被抽查企业上一年度生产的电动自行车产品销售总额，以万元计；若</w:t>
      </w:r>
      <w:r>
        <w:rPr>
          <w:rFonts w:ascii="仿宋_GB2312" w:eastAsia="仿宋_GB2312" w:hAnsi="宋体" w:hint="eastAsia"/>
          <w:color w:val="000000"/>
          <w:sz w:val="28"/>
          <w:szCs w:val="28"/>
        </w:rPr>
        <w:t>被抽查</w:t>
      </w:r>
      <w:r w:rsidRPr="00253BBD">
        <w:rPr>
          <w:rFonts w:ascii="仿宋_GB2312" w:eastAsia="仿宋_GB2312" w:hAnsi="宋体" w:hint="eastAsia"/>
          <w:color w:val="000000"/>
          <w:sz w:val="28"/>
          <w:szCs w:val="28"/>
        </w:rPr>
        <w:t>企业上一年度未生产，则记录本年度实际销售额，并加以注明。</w:t>
      </w: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6检验要求</w:t>
      </w:r>
    </w:p>
    <w:p w:rsidR="00E26647" w:rsidRPr="00253BBD" w:rsidRDefault="00E26647" w:rsidP="00E26647">
      <w:pPr>
        <w:snapToGrid w:val="0"/>
        <w:spacing w:line="360" w:lineRule="auto"/>
        <w:rPr>
          <w:rFonts w:ascii="仿宋_GB2312" w:eastAsia="仿宋_GB2312" w:hAnsi="宋体"/>
          <w:b/>
          <w:color w:val="000000"/>
          <w:sz w:val="28"/>
          <w:szCs w:val="28"/>
        </w:rPr>
      </w:pPr>
      <w:r w:rsidRPr="00253BBD">
        <w:rPr>
          <w:rFonts w:ascii="仿宋_GB2312" w:eastAsia="仿宋_GB2312" w:hAnsi="宋体" w:hint="eastAsia"/>
          <w:b/>
          <w:color w:val="000000"/>
          <w:sz w:val="28"/>
          <w:szCs w:val="28"/>
        </w:rPr>
        <w:t>6.1检验项目</w:t>
      </w:r>
    </w:p>
    <w:p w:rsidR="00E26647" w:rsidRPr="00AB03A8" w:rsidRDefault="00E26647" w:rsidP="00E26647">
      <w:pPr>
        <w:snapToGrid w:val="0"/>
        <w:spacing w:line="360" w:lineRule="auto"/>
        <w:jc w:val="center"/>
        <w:rPr>
          <w:rFonts w:ascii="黑体" w:eastAsia="黑体" w:hAnsi="黑体"/>
          <w:color w:val="000000"/>
          <w:sz w:val="24"/>
          <w:szCs w:val="28"/>
        </w:rPr>
      </w:pPr>
      <w:r w:rsidRPr="00AB03A8">
        <w:rPr>
          <w:rFonts w:ascii="黑体" w:eastAsia="黑体" w:hAnsi="黑体" w:hint="eastAsia"/>
          <w:color w:val="000000"/>
          <w:sz w:val="24"/>
          <w:szCs w:val="28"/>
        </w:rPr>
        <w:t>表4  检验项目</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720"/>
        <w:gridCol w:w="1456"/>
        <w:gridCol w:w="1575"/>
        <w:gridCol w:w="977"/>
        <w:gridCol w:w="1843"/>
        <w:gridCol w:w="1250"/>
        <w:gridCol w:w="1272"/>
      </w:tblGrid>
      <w:tr w:rsidR="00E26647" w:rsidRPr="00E55234" w:rsidTr="000B2037">
        <w:trPr>
          <w:cantSplit/>
          <w:trHeight w:val="492"/>
          <w:tblHeader/>
          <w:jc w:val="center"/>
        </w:trPr>
        <w:tc>
          <w:tcPr>
            <w:tcW w:w="637" w:type="dxa"/>
            <w:vMerge w:val="restart"/>
            <w:tcBorders>
              <w:top w:val="single" w:sz="4" w:space="0" w:color="auto"/>
              <w:left w:val="single" w:sz="4" w:space="0" w:color="auto"/>
              <w:right w:val="single" w:sz="4" w:space="0" w:color="auto"/>
            </w:tcBorders>
            <w:vAlign w:val="center"/>
          </w:tcPr>
          <w:p w:rsidR="00E26647" w:rsidRPr="00D35D12" w:rsidRDefault="00E26647" w:rsidP="00E26647">
            <w:pPr>
              <w:spacing w:line="320" w:lineRule="exact"/>
              <w:jc w:val="center"/>
              <w:rPr>
                <w:rFonts w:ascii="黑体" w:eastAsia="黑体" w:hAnsi="黑体"/>
                <w:color w:val="000000"/>
                <w:szCs w:val="18"/>
              </w:rPr>
            </w:pPr>
            <w:r w:rsidRPr="00D35D12">
              <w:rPr>
                <w:rFonts w:ascii="黑体" w:eastAsia="黑体" w:hAnsi="黑体" w:hint="eastAsia"/>
                <w:color w:val="000000"/>
                <w:szCs w:val="18"/>
              </w:rPr>
              <w:t>序号</w:t>
            </w:r>
          </w:p>
        </w:tc>
        <w:tc>
          <w:tcPr>
            <w:tcW w:w="2176" w:type="dxa"/>
            <w:gridSpan w:val="2"/>
            <w:vMerge w:val="restart"/>
            <w:tcBorders>
              <w:left w:val="single" w:sz="4" w:space="0" w:color="auto"/>
            </w:tcBorders>
            <w:vAlign w:val="center"/>
          </w:tcPr>
          <w:p w:rsidR="00E26647" w:rsidRPr="00D35D12" w:rsidRDefault="00E26647" w:rsidP="00E26647">
            <w:pPr>
              <w:spacing w:line="320" w:lineRule="exact"/>
              <w:jc w:val="center"/>
              <w:rPr>
                <w:rFonts w:ascii="黑体" w:eastAsia="黑体" w:hAnsi="黑体"/>
                <w:color w:val="000000"/>
                <w:szCs w:val="18"/>
              </w:rPr>
            </w:pPr>
            <w:r w:rsidRPr="00D35D12">
              <w:rPr>
                <w:rFonts w:ascii="黑体" w:eastAsia="黑体" w:hAnsi="黑体" w:hint="eastAsia"/>
                <w:color w:val="000000"/>
                <w:szCs w:val="18"/>
              </w:rPr>
              <w:t>检验项目</w:t>
            </w:r>
          </w:p>
        </w:tc>
        <w:tc>
          <w:tcPr>
            <w:tcW w:w="1575" w:type="dxa"/>
            <w:vMerge w:val="restart"/>
            <w:vAlign w:val="center"/>
          </w:tcPr>
          <w:p w:rsidR="00E26647" w:rsidRPr="00D35D12" w:rsidRDefault="00E26647" w:rsidP="00E26647">
            <w:pPr>
              <w:spacing w:line="320" w:lineRule="exact"/>
              <w:jc w:val="center"/>
              <w:rPr>
                <w:rFonts w:ascii="黑体" w:eastAsia="黑体" w:hAnsi="黑体"/>
                <w:color w:val="000000"/>
                <w:szCs w:val="18"/>
              </w:rPr>
            </w:pPr>
            <w:r w:rsidRPr="00D35D12">
              <w:rPr>
                <w:rFonts w:ascii="黑体" w:eastAsia="黑体" w:hAnsi="黑体" w:hint="eastAsia"/>
                <w:color w:val="000000"/>
                <w:szCs w:val="18"/>
              </w:rPr>
              <w:t>依据法律法规</w:t>
            </w:r>
          </w:p>
          <w:p w:rsidR="00E26647" w:rsidRPr="00D35D12" w:rsidRDefault="00E26647" w:rsidP="00E26647">
            <w:pPr>
              <w:spacing w:line="320" w:lineRule="exact"/>
              <w:jc w:val="center"/>
              <w:rPr>
                <w:rFonts w:ascii="黑体" w:eastAsia="黑体" w:hAnsi="黑体"/>
                <w:color w:val="000000"/>
                <w:szCs w:val="18"/>
              </w:rPr>
            </w:pPr>
            <w:r w:rsidRPr="00D35D12">
              <w:rPr>
                <w:rFonts w:ascii="黑体" w:eastAsia="黑体" w:hAnsi="黑体" w:hint="eastAsia"/>
                <w:color w:val="000000"/>
                <w:szCs w:val="18"/>
              </w:rPr>
              <w:t>或标准</w:t>
            </w:r>
          </w:p>
        </w:tc>
        <w:tc>
          <w:tcPr>
            <w:tcW w:w="977" w:type="dxa"/>
            <w:vMerge w:val="restart"/>
            <w:vAlign w:val="center"/>
          </w:tcPr>
          <w:p w:rsidR="00E26647" w:rsidRPr="00D35D12" w:rsidRDefault="00E26647" w:rsidP="00D35D12">
            <w:pPr>
              <w:spacing w:line="320" w:lineRule="exact"/>
              <w:jc w:val="center"/>
              <w:rPr>
                <w:rFonts w:ascii="黑体" w:eastAsia="黑体" w:hAnsi="黑体"/>
                <w:color w:val="000000"/>
                <w:szCs w:val="18"/>
              </w:rPr>
            </w:pPr>
            <w:r w:rsidRPr="00D35D12">
              <w:rPr>
                <w:rFonts w:ascii="黑体" w:eastAsia="黑体" w:hAnsi="黑体" w:hint="eastAsia"/>
                <w:color w:val="000000"/>
                <w:szCs w:val="18"/>
              </w:rPr>
              <w:t>强制性/推荐性</w:t>
            </w:r>
          </w:p>
        </w:tc>
        <w:tc>
          <w:tcPr>
            <w:tcW w:w="1843" w:type="dxa"/>
            <w:vMerge w:val="restart"/>
            <w:vAlign w:val="center"/>
          </w:tcPr>
          <w:p w:rsidR="00E26647" w:rsidRPr="00D35D12" w:rsidRDefault="00E26647" w:rsidP="00E26647">
            <w:pPr>
              <w:spacing w:line="320" w:lineRule="exact"/>
              <w:jc w:val="center"/>
              <w:rPr>
                <w:rFonts w:ascii="黑体" w:eastAsia="黑体" w:hAnsi="黑体"/>
                <w:color w:val="000000"/>
                <w:szCs w:val="18"/>
              </w:rPr>
            </w:pPr>
            <w:r w:rsidRPr="00D35D12">
              <w:rPr>
                <w:rFonts w:ascii="黑体" w:eastAsia="黑体" w:hAnsi="黑体" w:hint="eastAsia"/>
                <w:color w:val="000000"/>
                <w:szCs w:val="18"/>
              </w:rPr>
              <w:t>检测方法</w:t>
            </w:r>
          </w:p>
        </w:tc>
        <w:tc>
          <w:tcPr>
            <w:tcW w:w="2522" w:type="dxa"/>
            <w:gridSpan w:val="2"/>
            <w:vAlign w:val="center"/>
          </w:tcPr>
          <w:p w:rsidR="00E26647" w:rsidRPr="00D35D12" w:rsidRDefault="00E26647" w:rsidP="00E26647">
            <w:pPr>
              <w:spacing w:line="320" w:lineRule="exact"/>
              <w:jc w:val="center"/>
              <w:rPr>
                <w:rFonts w:ascii="黑体" w:eastAsia="黑体" w:hAnsi="黑体"/>
                <w:color w:val="000000"/>
                <w:szCs w:val="18"/>
              </w:rPr>
            </w:pPr>
            <w:r w:rsidRPr="00D35D12">
              <w:rPr>
                <w:rFonts w:ascii="黑体" w:eastAsia="黑体" w:hAnsi="黑体" w:hint="eastAsia"/>
                <w:color w:val="000000"/>
                <w:szCs w:val="18"/>
              </w:rPr>
              <w:t>复检样品</w:t>
            </w:r>
          </w:p>
        </w:tc>
      </w:tr>
      <w:tr w:rsidR="00E26647" w:rsidRPr="00E55234" w:rsidTr="000B2037">
        <w:trPr>
          <w:cantSplit/>
          <w:trHeight w:val="346"/>
          <w:tblHeader/>
          <w:jc w:val="center"/>
        </w:trPr>
        <w:tc>
          <w:tcPr>
            <w:tcW w:w="637" w:type="dxa"/>
            <w:vMerge/>
            <w:tcBorders>
              <w:left w:val="single" w:sz="4" w:space="0" w:color="auto"/>
              <w:right w:val="single" w:sz="4" w:space="0" w:color="auto"/>
            </w:tcBorders>
            <w:vAlign w:val="center"/>
          </w:tcPr>
          <w:p w:rsidR="00E26647" w:rsidRPr="00D35D12" w:rsidRDefault="00E26647" w:rsidP="00E26647">
            <w:pPr>
              <w:spacing w:line="320" w:lineRule="exact"/>
              <w:jc w:val="center"/>
              <w:rPr>
                <w:rFonts w:ascii="黑体" w:eastAsia="黑体" w:hAnsi="黑体"/>
                <w:color w:val="000000"/>
                <w:szCs w:val="18"/>
              </w:rPr>
            </w:pPr>
          </w:p>
        </w:tc>
        <w:tc>
          <w:tcPr>
            <w:tcW w:w="2176" w:type="dxa"/>
            <w:gridSpan w:val="2"/>
            <w:vMerge/>
            <w:tcBorders>
              <w:left w:val="single" w:sz="4" w:space="0" w:color="auto"/>
            </w:tcBorders>
            <w:vAlign w:val="center"/>
          </w:tcPr>
          <w:p w:rsidR="00E26647" w:rsidRPr="00D35D12" w:rsidRDefault="00E26647" w:rsidP="00E26647">
            <w:pPr>
              <w:spacing w:line="320" w:lineRule="exact"/>
              <w:jc w:val="center"/>
              <w:rPr>
                <w:rFonts w:ascii="黑体" w:eastAsia="黑体" w:hAnsi="黑体"/>
                <w:color w:val="000000"/>
                <w:szCs w:val="18"/>
              </w:rPr>
            </w:pPr>
          </w:p>
        </w:tc>
        <w:tc>
          <w:tcPr>
            <w:tcW w:w="1575" w:type="dxa"/>
            <w:vMerge/>
            <w:vAlign w:val="center"/>
          </w:tcPr>
          <w:p w:rsidR="00E26647" w:rsidRPr="00D35D12" w:rsidRDefault="00E26647" w:rsidP="00E26647">
            <w:pPr>
              <w:spacing w:line="320" w:lineRule="exact"/>
              <w:jc w:val="center"/>
              <w:rPr>
                <w:rFonts w:ascii="黑体" w:eastAsia="黑体" w:hAnsi="黑体"/>
                <w:color w:val="000000"/>
                <w:szCs w:val="18"/>
              </w:rPr>
            </w:pPr>
          </w:p>
        </w:tc>
        <w:tc>
          <w:tcPr>
            <w:tcW w:w="977" w:type="dxa"/>
            <w:vMerge/>
            <w:vAlign w:val="center"/>
          </w:tcPr>
          <w:p w:rsidR="00E26647" w:rsidRPr="00D35D12" w:rsidRDefault="00E26647" w:rsidP="00E26647">
            <w:pPr>
              <w:spacing w:line="320" w:lineRule="exact"/>
              <w:jc w:val="center"/>
              <w:rPr>
                <w:rFonts w:ascii="黑体" w:eastAsia="黑体" w:hAnsi="黑体"/>
                <w:color w:val="000000"/>
                <w:szCs w:val="18"/>
              </w:rPr>
            </w:pPr>
          </w:p>
        </w:tc>
        <w:tc>
          <w:tcPr>
            <w:tcW w:w="1843" w:type="dxa"/>
            <w:vMerge/>
            <w:vAlign w:val="center"/>
          </w:tcPr>
          <w:p w:rsidR="00E26647" w:rsidRPr="00D35D12" w:rsidRDefault="00E26647" w:rsidP="00E26647">
            <w:pPr>
              <w:spacing w:line="320" w:lineRule="exact"/>
              <w:jc w:val="center"/>
              <w:rPr>
                <w:rFonts w:ascii="黑体" w:eastAsia="黑体" w:hAnsi="黑体"/>
                <w:color w:val="000000"/>
                <w:szCs w:val="18"/>
              </w:rPr>
            </w:pPr>
          </w:p>
        </w:tc>
        <w:tc>
          <w:tcPr>
            <w:tcW w:w="1250" w:type="dxa"/>
            <w:vAlign w:val="center"/>
          </w:tcPr>
          <w:p w:rsidR="00E26647" w:rsidRPr="00D35D12" w:rsidRDefault="00E26647" w:rsidP="00E26647">
            <w:pPr>
              <w:spacing w:line="320" w:lineRule="exact"/>
              <w:jc w:val="center"/>
              <w:rPr>
                <w:rFonts w:ascii="黑体" w:eastAsia="黑体" w:hAnsi="黑体"/>
                <w:color w:val="000000"/>
                <w:szCs w:val="18"/>
              </w:rPr>
            </w:pPr>
            <w:r w:rsidRPr="00D35D12">
              <w:rPr>
                <w:rFonts w:ascii="黑体" w:eastAsia="黑体" w:hAnsi="黑体" w:hint="eastAsia"/>
                <w:color w:val="000000"/>
                <w:szCs w:val="18"/>
              </w:rPr>
              <w:t>情况①</w:t>
            </w:r>
          </w:p>
        </w:tc>
        <w:tc>
          <w:tcPr>
            <w:tcW w:w="1272" w:type="dxa"/>
            <w:vAlign w:val="center"/>
          </w:tcPr>
          <w:p w:rsidR="00E26647" w:rsidRPr="00D35D12" w:rsidRDefault="00E26647" w:rsidP="00E26647">
            <w:pPr>
              <w:spacing w:line="320" w:lineRule="exact"/>
              <w:jc w:val="center"/>
              <w:rPr>
                <w:rFonts w:ascii="黑体" w:eastAsia="黑体" w:hAnsi="黑体"/>
                <w:color w:val="000000"/>
                <w:szCs w:val="18"/>
              </w:rPr>
            </w:pPr>
            <w:r w:rsidRPr="00D35D12">
              <w:rPr>
                <w:rFonts w:ascii="黑体" w:eastAsia="黑体" w:hAnsi="黑体" w:hint="eastAsia"/>
                <w:color w:val="000000"/>
                <w:szCs w:val="18"/>
              </w:rPr>
              <w:t>情况②</w:t>
            </w:r>
          </w:p>
        </w:tc>
      </w:tr>
      <w:tr w:rsidR="00E26647" w:rsidRPr="00085470" w:rsidTr="000B2037">
        <w:trPr>
          <w:cantSplit/>
          <w:jc w:val="center"/>
        </w:trPr>
        <w:tc>
          <w:tcPr>
            <w:tcW w:w="637" w:type="dxa"/>
            <w:tcBorders>
              <w:top w:val="single" w:sz="4" w:space="0" w:color="auto"/>
            </w:tcBorders>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1</w:t>
            </w:r>
          </w:p>
        </w:tc>
        <w:tc>
          <w:tcPr>
            <w:tcW w:w="2176" w:type="dxa"/>
            <w:gridSpan w:val="2"/>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最高车速</w:t>
            </w:r>
          </w:p>
        </w:tc>
        <w:tc>
          <w:tcPr>
            <w:tcW w:w="1575"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E26647" w:rsidRPr="00085470" w:rsidRDefault="00E26647" w:rsidP="00E26647">
            <w:pPr>
              <w:spacing w:line="320" w:lineRule="exact"/>
              <w:jc w:val="center"/>
              <w:rPr>
                <w:rFonts w:ascii="仿宋_GB2312" w:eastAsia="仿宋_GB2312" w:hAnsi="宋体" w:hint="eastAsia"/>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085470">
                <w:rPr>
                  <w:rFonts w:ascii="仿宋_GB2312" w:eastAsia="仿宋_GB2312" w:hAnsi="宋体" w:hint="eastAsia"/>
                  <w:color w:val="000000"/>
                  <w:szCs w:val="21"/>
                </w:rPr>
                <w:t>5.1.1</w:t>
              </w:r>
            </w:smartTag>
          </w:p>
        </w:tc>
        <w:tc>
          <w:tcPr>
            <w:tcW w:w="977"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强制性</w:t>
            </w:r>
          </w:p>
        </w:tc>
        <w:tc>
          <w:tcPr>
            <w:tcW w:w="1843"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E26647" w:rsidRPr="00085470" w:rsidRDefault="00E26647" w:rsidP="00E26647">
            <w:pPr>
              <w:spacing w:line="320" w:lineRule="exact"/>
              <w:jc w:val="center"/>
              <w:rPr>
                <w:rFonts w:ascii="仿宋_GB2312" w:eastAsia="仿宋_GB2312" w:hAnsi="宋体" w:hint="eastAsia"/>
                <w:color w:val="000000"/>
                <w:szCs w:val="21"/>
              </w:rPr>
            </w:pPr>
            <w:bookmarkStart w:id="0" w:name="_GoBack"/>
            <w:bookmarkEnd w:id="0"/>
            <w:smartTag w:uri="urn:schemas-microsoft-com:office:smarttags" w:element="chsdate">
              <w:smartTagPr>
                <w:attr w:name="IsROCDate" w:val="False"/>
                <w:attr w:name="IsLunarDate" w:val="False"/>
                <w:attr w:name="Day" w:val="30"/>
                <w:attr w:name="Month" w:val="12"/>
                <w:attr w:name="Year" w:val="1899"/>
              </w:smartTagPr>
              <w:r w:rsidRPr="00085470">
                <w:rPr>
                  <w:rFonts w:ascii="仿宋_GB2312" w:eastAsia="仿宋_GB2312" w:hAnsi="宋体" w:hint="eastAsia"/>
                  <w:color w:val="000000"/>
                  <w:szCs w:val="21"/>
                </w:rPr>
                <w:t>6.1.1</w:t>
              </w:r>
            </w:smartTag>
          </w:p>
        </w:tc>
        <w:tc>
          <w:tcPr>
            <w:tcW w:w="1250"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E26647" w:rsidRPr="00085470" w:rsidTr="000B2037">
        <w:trPr>
          <w:cantSplit/>
          <w:jc w:val="center"/>
        </w:trPr>
        <w:tc>
          <w:tcPr>
            <w:tcW w:w="637"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2</w:t>
            </w:r>
          </w:p>
        </w:tc>
        <w:tc>
          <w:tcPr>
            <w:tcW w:w="2176" w:type="dxa"/>
            <w:gridSpan w:val="2"/>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制动性能</w:t>
            </w:r>
          </w:p>
        </w:tc>
        <w:tc>
          <w:tcPr>
            <w:tcW w:w="1575"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E26647" w:rsidRPr="00085470" w:rsidRDefault="00E26647" w:rsidP="00E26647">
            <w:pPr>
              <w:spacing w:line="320" w:lineRule="exact"/>
              <w:jc w:val="center"/>
              <w:rPr>
                <w:rFonts w:ascii="仿宋_GB2312" w:eastAsia="仿宋_GB2312" w:hAnsi="宋体" w:hint="eastAsia"/>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085470">
                <w:rPr>
                  <w:rFonts w:ascii="仿宋_GB2312" w:eastAsia="仿宋_GB2312" w:hAnsi="宋体" w:hint="eastAsia"/>
                  <w:color w:val="000000"/>
                  <w:szCs w:val="21"/>
                </w:rPr>
                <w:t>5.2.1</w:t>
              </w:r>
            </w:smartTag>
          </w:p>
        </w:tc>
        <w:tc>
          <w:tcPr>
            <w:tcW w:w="977"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强制性</w:t>
            </w:r>
          </w:p>
        </w:tc>
        <w:tc>
          <w:tcPr>
            <w:tcW w:w="1843"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E26647" w:rsidRPr="00085470" w:rsidRDefault="00E26647" w:rsidP="00E26647">
            <w:pPr>
              <w:spacing w:line="320" w:lineRule="exact"/>
              <w:jc w:val="center"/>
              <w:rPr>
                <w:rFonts w:ascii="仿宋_GB2312" w:eastAsia="仿宋_GB2312" w:hAnsi="宋体" w:hint="eastAsia"/>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085470">
                <w:rPr>
                  <w:rFonts w:ascii="仿宋_GB2312" w:eastAsia="仿宋_GB2312" w:hAnsi="宋体" w:hint="eastAsia"/>
                  <w:color w:val="000000"/>
                  <w:szCs w:val="21"/>
                </w:rPr>
                <w:t>6.2.1</w:t>
              </w:r>
            </w:smartTag>
          </w:p>
        </w:tc>
        <w:tc>
          <w:tcPr>
            <w:tcW w:w="1250"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E26647" w:rsidRPr="00085470" w:rsidRDefault="00E2664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0B2037" w:rsidRPr="00085470" w:rsidTr="00354A0F">
        <w:trPr>
          <w:cantSplit/>
          <w:jc w:val="center"/>
        </w:trPr>
        <w:tc>
          <w:tcPr>
            <w:tcW w:w="637" w:type="dxa"/>
            <w:vAlign w:val="center"/>
          </w:tcPr>
          <w:p w:rsidR="000B2037" w:rsidRPr="00085470" w:rsidRDefault="000B203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3</w:t>
            </w:r>
          </w:p>
        </w:tc>
        <w:tc>
          <w:tcPr>
            <w:tcW w:w="2176" w:type="dxa"/>
            <w:gridSpan w:val="2"/>
            <w:vAlign w:val="center"/>
          </w:tcPr>
          <w:p w:rsidR="000B2037" w:rsidRPr="00085470" w:rsidRDefault="000B203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车架/前叉组合件</w:t>
            </w:r>
          </w:p>
          <w:p w:rsidR="000B2037" w:rsidRPr="00085470" w:rsidRDefault="000B203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振动强度</w:t>
            </w:r>
          </w:p>
        </w:tc>
        <w:tc>
          <w:tcPr>
            <w:tcW w:w="1575" w:type="dxa"/>
            <w:vAlign w:val="center"/>
          </w:tcPr>
          <w:p w:rsidR="000B2037" w:rsidRPr="00085470" w:rsidRDefault="000B203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0B2037" w:rsidRPr="00085470" w:rsidRDefault="000B2037" w:rsidP="00E26647">
            <w:pPr>
              <w:spacing w:line="320" w:lineRule="exact"/>
              <w:jc w:val="center"/>
              <w:rPr>
                <w:rFonts w:ascii="仿宋_GB2312" w:eastAsia="仿宋_GB2312" w:hAnsi="宋体" w:hint="eastAsia"/>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085470">
                <w:rPr>
                  <w:rFonts w:ascii="仿宋_GB2312" w:eastAsia="仿宋_GB2312" w:hAnsi="宋体" w:hint="eastAsia"/>
                  <w:color w:val="000000"/>
                  <w:szCs w:val="21"/>
                </w:rPr>
                <w:t>5.2.2</w:t>
              </w:r>
            </w:smartTag>
            <w:r w:rsidRPr="00085470">
              <w:rPr>
                <w:rFonts w:ascii="仿宋_GB2312" w:eastAsia="仿宋_GB2312" w:hAnsi="宋体" w:hint="eastAsia"/>
                <w:color w:val="000000"/>
                <w:szCs w:val="21"/>
              </w:rPr>
              <w:t>.2</w:t>
            </w:r>
          </w:p>
        </w:tc>
        <w:tc>
          <w:tcPr>
            <w:tcW w:w="977" w:type="dxa"/>
            <w:vAlign w:val="center"/>
          </w:tcPr>
          <w:p w:rsidR="000B2037" w:rsidRPr="00085470" w:rsidRDefault="000B203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强制性</w:t>
            </w:r>
          </w:p>
        </w:tc>
        <w:tc>
          <w:tcPr>
            <w:tcW w:w="1843" w:type="dxa"/>
            <w:vAlign w:val="center"/>
          </w:tcPr>
          <w:p w:rsidR="000B2037" w:rsidRPr="00085470" w:rsidRDefault="000B2037" w:rsidP="00E26647">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0B2037" w:rsidRPr="00085470" w:rsidRDefault="000B2037" w:rsidP="00E26647">
            <w:pPr>
              <w:spacing w:line="320" w:lineRule="exact"/>
              <w:jc w:val="center"/>
              <w:rPr>
                <w:rFonts w:ascii="仿宋_GB2312" w:eastAsia="仿宋_GB2312" w:hAnsi="宋体" w:hint="eastAsia"/>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085470">
                <w:rPr>
                  <w:rFonts w:ascii="仿宋_GB2312" w:eastAsia="仿宋_GB2312" w:hAnsi="宋体" w:hint="eastAsia"/>
                  <w:color w:val="000000"/>
                  <w:szCs w:val="21"/>
                </w:rPr>
                <w:t>6.2.2</w:t>
              </w:r>
            </w:smartTag>
            <w:r w:rsidRPr="00085470">
              <w:rPr>
                <w:rFonts w:ascii="仿宋_GB2312" w:eastAsia="仿宋_GB2312" w:hAnsi="宋体" w:hint="eastAsia"/>
                <w:color w:val="000000"/>
                <w:szCs w:val="21"/>
              </w:rPr>
              <w:t>.2</w:t>
            </w:r>
          </w:p>
        </w:tc>
        <w:tc>
          <w:tcPr>
            <w:tcW w:w="2522" w:type="dxa"/>
            <w:gridSpan w:val="2"/>
            <w:vAlign w:val="center"/>
          </w:tcPr>
          <w:p w:rsidR="000B2037" w:rsidRPr="00085470" w:rsidRDefault="000B2037" w:rsidP="00E26647">
            <w:pPr>
              <w:spacing w:line="320" w:lineRule="exact"/>
              <w:jc w:val="center"/>
              <w:rPr>
                <w:rFonts w:ascii="仿宋_GB2312" w:eastAsia="仿宋_GB2312" w:hAnsi="宋体" w:hint="eastAsia"/>
                <w:color w:val="000000"/>
                <w:szCs w:val="21"/>
              </w:rPr>
            </w:pPr>
            <w:r>
              <w:rPr>
                <w:rFonts w:ascii="仿宋_GB2312" w:eastAsia="仿宋_GB2312" w:hAnsi="宋体" w:hint="eastAsia"/>
                <w:color w:val="000000"/>
                <w:szCs w:val="21"/>
              </w:rPr>
              <w:t>不予复检</w:t>
            </w:r>
          </w:p>
        </w:tc>
      </w:tr>
      <w:tr w:rsidR="00085470" w:rsidRPr="00085470" w:rsidTr="000B2037">
        <w:trPr>
          <w:cantSplit/>
          <w:jc w:val="center"/>
        </w:trPr>
        <w:tc>
          <w:tcPr>
            <w:tcW w:w="637"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4</w:t>
            </w:r>
          </w:p>
        </w:tc>
        <w:tc>
          <w:tcPr>
            <w:tcW w:w="2176" w:type="dxa"/>
            <w:gridSpan w:val="2"/>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整车质量（重量）</w:t>
            </w:r>
          </w:p>
        </w:tc>
        <w:tc>
          <w:tcPr>
            <w:tcW w:w="1575"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085470" w:rsidRPr="00085470" w:rsidRDefault="00085470" w:rsidP="00085470">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5.1.2</w:t>
              </w:r>
            </w:smartTag>
          </w:p>
        </w:tc>
        <w:tc>
          <w:tcPr>
            <w:tcW w:w="977"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推荐性</w:t>
            </w:r>
          </w:p>
        </w:tc>
        <w:tc>
          <w:tcPr>
            <w:tcW w:w="1843"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085470" w:rsidRPr="00085470" w:rsidRDefault="00085470" w:rsidP="00085470">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6.1.2</w:t>
              </w:r>
            </w:smartTag>
          </w:p>
        </w:tc>
        <w:tc>
          <w:tcPr>
            <w:tcW w:w="1250"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085470" w:rsidRPr="00085470" w:rsidTr="000B2037">
        <w:trPr>
          <w:cantSplit/>
          <w:jc w:val="center"/>
        </w:trPr>
        <w:tc>
          <w:tcPr>
            <w:tcW w:w="637"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5</w:t>
            </w:r>
          </w:p>
        </w:tc>
        <w:tc>
          <w:tcPr>
            <w:tcW w:w="2176" w:type="dxa"/>
            <w:gridSpan w:val="2"/>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把立管静负荷</w:t>
            </w:r>
          </w:p>
        </w:tc>
        <w:tc>
          <w:tcPr>
            <w:tcW w:w="1575"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085470" w:rsidRPr="00085470" w:rsidRDefault="00085470" w:rsidP="00085470">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5.2.3</w:t>
              </w:r>
            </w:smartTag>
            <w:r w:rsidRPr="00085470">
              <w:rPr>
                <w:rFonts w:ascii="仿宋_GB2312" w:eastAsia="仿宋_GB2312" w:hAnsi="宋体" w:hint="eastAsia"/>
                <w:color w:val="000000"/>
                <w:szCs w:val="21"/>
              </w:rPr>
              <w:t>.3</w:t>
            </w:r>
          </w:p>
        </w:tc>
        <w:tc>
          <w:tcPr>
            <w:tcW w:w="977"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推荐性</w:t>
            </w:r>
          </w:p>
        </w:tc>
        <w:tc>
          <w:tcPr>
            <w:tcW w:w="1843"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085470" w:rsidRPr="00085470" w:rsidRDefault="00085470" w:rsidP="00085470">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6.2.3</w:t>
              </w:r>
            </w:smartTag>
            <w:r w:rsidRPr="00085470">
              <w:rPr>
                <w:rFonts w:ascii="仿宋_GB2312" w:eastAsia="仿宋_GB2312" w:hAnsi="宋体" w:hint="eastAsia"/>
                <w:color w:val="000000"/>
                <w:szCs w:val="21"/>
              </w:rPr>
              <w:t>.3</w:t>
            </w:r>
          </w:p>
        </w:tc>
        <w:tc>
          <w:tcPr>
            <w:tcW w:w="1250"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085470" w:rsidRPr="00085470" w:rsidRDefault="00085470" w:rsidP="00085470">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8E5D43" w:rsidRPr="00085470" w:rsidTr="000B2037">
        <w:trPr>
          <w:cantSplit/>
          <w:jc w:val="center"/>
        </w:trPr>
        <w:tc>
          <w:tcPr>
            <w:tcW w:w="637" w:type="dxa"/>
            <w:vMerge w:val="restart"/>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6</w:t>
            </w:r>
          </w:p>
        </w:tc>
        <w:tc>
          <w:tcPr>
            <w:tcW w:w="720" w:type="dxa"/>
            <w:vMerge w:val="restart"/>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脚蹬间隙</w:t>
            </w:r>
          </w:p>
        </w:tc>
        <w:tc>
          <w:tcPr>
            <w:tcW w:w="1456"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地面距离</w:t>
            </w:r>
          </w:p>
        </w:tc>
        <w:tc>
          <w:tcPr>
            <w:tcW w:w="1575" w:type="dxa"/>
            <w:vMerge w:val="restart"/>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5.2.5</w:t>
              </w:r>
            </w:smartTag>
          </w:p>
        </w:tc>
        <w:tc>
          <w:tcPr>
            <w:tcW w:w="977" w:type="dxa"/>
            <w:vMerge w:val="restart"/>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推荐性</w:t>
            </w:r>
          </w:p>
        </w:tc>
        <w:tc>
          <w:tcPr>
            <w:tcW w:w="1843" w:type="dxa"/>
            <w:vMerge w:val="restart"/>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6.2.5</w:t>
              </w:r>
            </w:smartTag>
          </w:p>
        </w:tc>
        <w:tc>
          <w:tcPr>
            <w:tcW w:w="1250"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8E5D43" w:rsidRPr="00085470" w:rsidTr="000B2037">
        <w:trPr>
          <w:cantSplit/>
          <w:jc w:val="center"/>
        </w:trPr>
        <w:tc>
          <w:tcPr>
            <w:tcW w:w="637" w:type="dxa"/>
            <w:vMerge/>
            <w:vAlign w:val="center"/>
          </w:tcPr>
          <w:p w:rsidR="008E5D43" w:rsidRPr="00085470" w:rsidRDefault="008E5D43" w:rsidP="008E5D43">
            <w:pPr>
              <w:spacing w:line="320" w:lineRule="exact"/>
              <w:jc w:val="center"/>
              <w:rPr>
                <w:rFonts w:ascii="仿宋_GB2312" w:eastAsia="仿宋_GB2312" w:hAnsi="宋体" w:hint="eastAsia"/>
                <w:color w:val="000000"/>
                <w:szCs w:val="21"/>
              </w:rPr>
            </w:pPr>
          </w:p>
        </w:tc>
        <w:tc>
          <w:tcPr>
            <w:tcW w:w="720" w:type="dxa"/>
            <w:vMerge/>
            <w:vAlign w:val="center"/>
          </w:tcPr>
          <w:p w:rsidR="008E5D43" w:rsidRPr="00085470" w:rsidRDefault="008E5D43" w:rsidP="008E5D43">
            <w:pPr>
              <w:spacing w:line="320" w:lineRule="exact"/>
              <w:jc w:val="center"/>
              <w:rPr>
                <w:rFonts w:ascii="仿宋_GB2312" w:eastAsia="仿宋_GB2312" w:hAnsi="宋体" w:hint="eastAsia"/>
                <w:color w:val="000000"/>
                <w:szCs w:val="21"/>
              </w:rPr>
            </w:pPr>
          </w:p>
        </w:tc>
        <w:tc>
          <w:tcPr>
            <w:tcW w:w="1456"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足趾间隙</w:t>
            </w:r>
          </w:p>
        </w:tc>
        <w:tc>
          <w:tcPr>
            <w:tcW w:w="1575" w:type="dxa"/>
            <w:vMerge/>
            <w:vAlign w:val="center"/>
          </w:tcPr>
          <w:p w:rsidR="008E5D43" w:rsidRPr="00085470" w:rsidRDefault="008E5D43" w:rsidP="008E5D43">
            <w:pPr>
              <w:spacing w:line="320" w:lineRule="exact"/>
              <w:jc w:val="center"/>
              <w:rPr>
                <w:rFonts w:ascii="仿宋_GB2312" w:eastAsia="仿宋_GB2312" w:hAnsi="宋体" w:hint="eastAsia"/>
                <w:color w:val="000000"/>
                <w:szCs w:val="21"/>
              </w:rPr>
            </w:pPr>
          </w:p>
        </w:tc>
        <w:tc>
          <w:tcPr>
            <w:tcW w:w="977" w:type="dxa"/>
            <w:vMerge/>
            <w:vAlign w:val="center"/>
          </w:tcPr>
          <w:p w:rsidR="008E5D43" w:rsidRPr="00085470" w:rsidRDefault="008E5D43" w:rsidP="008E5D43">
            <w:pPr>
              <w:spacing w:line="320" w:lineRule="exact"/>
              <w:jc w:val="center"/>
              <w:rPr>
                <w:rFonts w:ascii="仿宋_GB2312" w:eastAsia="仿宋_GB2312" w:hAnsi="宋体" w:hint="eastAsia"/>
                <w:color w:val="000000"/>
                <w:szCs w:val="21"/>
              </w:rPr>
            </w:pPr>
          </w:p>
        </w:tc>
        <w:tc>
          <w:tcPr>
            <w:tcW w:w="1843" w:type="dxa"/>
            <w:vMerge/>
          </w:tcPr>
          <w:p w:rsidR="008E5D43" w:rsidRPr="00085470" w:rsidRDefault="008E5D43" w:rsidP="008E5D43">
            <w:pPr>
              <w:spacing w:line="320" w:lineRule="exact"/>
              <w:jc w:val="center"/>
              <w:rPr>
                <w:rFonts w:ascii="仿宋_GB2312" w:eastAsia="仿宋_GB2312" w:hAnsi="宋体" w:hint="eastAsia"/>
                <w:color w:val="000000"/>
                <w:szCs w:val="21"/>
              </w:rPr>
            </w:pPr>
          </w:p>
        </w:tc>
        <w:tc>
          <w:tcPr>
            <w:tcW w:w="1250"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8E5D43" w:rsidRPr="00085470" w:rsidTr="000B2037">
        <w:trPr>
          <w:cantSplit/>
          <w:jc w:val="center"/>
        </w:trPr>
        <w:tc>
          <w:tcPr>
            <w:tcW w:w="63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7</w:t>
            </w:r>
          </w:p>
        </w:tc>
        <w:tc>
          <w:tcPr>
            <w:tcW w:w="2176" w:type="dxa"/>
            <w:gridSpan w:val="2"/>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鞍座调节夹紧强度</w:t>
            </w:r>
          </w:p>
        </w:tc>
        <w:tc>
          <w:tcPr>
            <w:tcW w:w="1575"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5.2.6</w:t>
              </w:r>
            </w:smartTag>
            <w:r w:rsidRPr="00085470">
              <w:rPr>
                <w:rFonts w:ascii="仿宋_GB2312" w:eastAsia="仿宋_GB2312" w:hAnsi="宋体" w:hint="eastAsia"/>
                <w:color w:val="000000"/>
                <w:szCs w:val="21"/>
              </w:rPr>
              <w:t>.2</w:t>
            </w:r>
          </w:p>
        </w:tc>
        <w:tc>
          <w:tcPr>
            <w:tcW w:w="97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推荐性</w:t>
            </w:r>
          </w:p>
        </w:tc>
        <w:tc>
          <w:tcPr>
            <w:tcW w:w="1843"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6.2.6</w:t>
              </w:r>
            </w:smartTag>
            <w:r w:rsidRPr="00085470">
              <w:rPr>
                <w:rFonts w:ascii="仿宋_GB2312" w:eastAsia="仿宋_GB2312" w:hAnsi="宋体" w:hint="eastAsia"/>
                <w:color w:val="000000"/>
                <w:szCs w:val="21"/>
              </w:rPr>
              <w:t>.2</w:t>
            </w:r>
          </w:p>
        </w:tc>
        <w:tc>
          <w:tcPr>
            <w:tcW w:w="1250"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8E5D43" w:rsidRPr="00085470" w:rsidTr="000B2037">
        <w:trPr>
          <w:cantSplit/>
          <w:jc w:val="center"/>
        </w:trPr>
        <w:tc>
          <w:tcPr>
            <w:tcW w:w="63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8</w:t>
            </w:r>
          </w:p>
        </w:tc>
        <w:tc>
          <w:tcPr>
            <w:tcW w:w="2176" w:type="dxa"/>
            <w:gridSpan w:val="2"/>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绝缘性能</w:t>
            </w:r>
          </w:p>
        </w:tc>
        <w:tc>
          <w:tcPr>
            <w:tcW w:w="1575"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5.2.8</w:t>
              </w:r>
            </w:smartTag>
            <w:r w:rsidRPr="00085470">
              <w:rPr>
                <w:rFonts w:ascii="仿宋_GB2312" w:eastAsia="仿宋_GB2312" w:hAnsi="宋体" w:hint="eastAsia"/>
                <w:color w:val="000000"/>
                <w:szCs w:val="21"/>
              </w:rPr>
              <w:t>.2</w:t>
            </w:r>
          </w:p>
        </w:tc>
        <w:tc>
          <w:tcPr>
            <w:tcW w:w="97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推荐性</w:t>
            </w:r>
          </w:p>
        </w:tc>
        <w:tc>
          <w:tcPr>
            <w:tcW w:w="1843"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6.2.8</w:t>
              </w:r>
            </w:smartTag>
            <w:r w:rsidRPr="00085470">
              <w:rPr>
                <w:rFonts w:ascii="仿宋_GB2312" w:eastAsia="仿宋_GB2312" w:hAnsi="宋体" w:hint="eastAsia"/>
                <w:color w:val="000000"/>
                <w:szCs w:val="21"/>
              </w:rPr>
              <w:t>.2</w:t>
            </w:r>
          </w:p>
        </w:tc>
        <w:tc>
          <w:tcPr>
            <w:tcW w:w="1250"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8E5D43" w:rsidRPr="00085470" w:rsidTr="000B2037">
        <w:trPr>
          <w:cantSplit/>
          <w:jc w:val="center"/>
        </w:trPr>
        <w:tc>
          <w:tcPr>
            <w:tcW w:w="63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9</w:t>
            </w:r>
          </w:p>
        </w:tc>
        <w:tc>
          <w:tcPr>
            <w:tcW w:w="2176" w:type="dxa"/>
            <w:gridSpan w:val="2"/>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制动断电装置</w:t>
            </w:r>
          </w:p>
        </w:tc>
        <w:tc>
          <w:tcPr>
            <w:tcW w:w="1575"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5.2.8</w:t>
              </w:r>
            </w:smartTag>
            <w:r w:rsidRPr="00085470">
              <w:rPr>
                <w:rFonts w:ascii="仿宋_GB2312" w:eastAsia="仿宋_GB2312" w:hAnsi="宋体" w:hint="eastAsia"/>
                <w:color w:val="000000"/>
                <w:szCs w:val="21"/>
              </w:rPr>
              <w:t>.5</w:t>
            </w:r>
          </w:p>
        </w:tc>
        <w:tc>
          <w:tcPr>
            <w:tcW w:w="97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推荐性</w:t>
            </w:r>
          </w:p>
        </w:tc>
        <w:tc>
          <w:tcPr>
            <w:tcW w:w="1843"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6.2.8</w:t>
              </w:r>
            </w:smartTag>
            <w:r w:rsidRPr="00085470">
              <w:rPr>
                <w:rFonts w:ascii="仿宋_GB2312" w:eastAsia="仿宋_GB2312" w:hAnsi="宋体" w:hint="eastAsia"/>
                <w:color w:val="000000"/>
                <w:szCs w:val="21"/>
              </w:rPr>
              <w:t>.5</w:t>
            </w:r>
          </w:p>
        </w:tc>
        <w:tc>
          <w:tcPr>
            <w:tcW w:w="1250"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8E5D43" w:rsidRPr="00085470" w:rsidTr="000B2037">
        <w:trPr>
          <w:cantSplit/>
          <w:jc w:val="center"/>
        </w:trPr>
        <w:tc>
          <w:tcPr>
            <w:tcW w:w="63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10</w:t>
            </w:r>
          </w:p>
        </w:tc>
        <w:tc>
          <w:tcPr>
            <w:tcW w:w="2176" w:type="dxa"/>
            <w:gridSpan w:val="2"/>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欠压、过流保护功能</w:t>
            </w:r>
          </w:p>
        </w:tc>
        <w:tc>
          <w:tcPr>
            <w:tcW w:w="1575"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5.2.8</w:t>
              </w:r>
            </w:smartTag>
            <w:r w:rsidRPr="00085470">
              <w:rPr>
                <w:rFonts w:ascii="仿宋_GB2312" w:eastAsia="仿宋_GB2312" w:hAnsi="宋体" w:hint="eastAsia"/>
                <w:color w:val="000000"/>
                <w:szCs w:val="21"/>
              </w:rPr>
              <w:t>.6</w:t>
            </w:r>
          </w:p>
        </w:tc>
        <w:tc>
          <w:tcPr>
            <w:tcW w:w="97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推荐性</w:t>
            </w:r>
          </w:p>
        </w:tc>
        <w:tc>
          <w:tcPr>
            <w:tcW w:w="1843"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GB 17761-1999</w:t>
            </w:r>
          </w:p>
          <w:p w:rsidR="008E5D43" w:rsidRPr="00085470" w:rsidRDefault="008E5D43" w:rsidP="008E5D43">
            <w:pPr>
              <w:spacing w:line="320" w:lineRule="exact"/>
              <w:jc w:val="center"/>
              <w:rPr>
                <w:rFonts w:ascii="仿宋_GB2312" w:eastAsia="仿宋_GB2312"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85470">
                <w:rPr>
                  <w:rFonts w:ascii="仿宋_GB2312" w:eastAsia="仿宋_GB2312" w:hAnsi="宋体" w:hint="eastAsia"/>
                  <w:color w:val="000000"/>
                  <w:szCs w:val="21"/>
                </w:rPr>
                <w:t>6.2.8</w:t>
              </w:r>
            </w:smartTag>
            <w:r w:rsidRPr="00085470">
              <w:rPr>
                <w:rFonts w:ascii="仿宋_GB2312" w:eastAsia="仿宋_GB2312" w:hAnsi="宋体" w:hint="eastAsia"/>
                <w:color w:val="000000"/>
                <w:szCs w:val="21"/>
              </w:rPr>
              <w:t>.6</w:t>
            </w:r>
          </w:p>
        </w:tc>
        <w:tc>
          <w:tcPr>
            <w:tcW w:w="1250"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8E5D43" w:rsidRPr="00085470" w:rsidTr="000B2037">
        <w:trPr>
          <w:cantSplit/>
          <w:jc w:val="center"/>
        </w:trPr>
        <w:tc>
          <w:tcPr>
            <w:tcW w:w="63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11</w:t>
            </w:r>
          </w:p>
        </w:tc>
        <w:tc>
          <w:tcPr>
            <w:tcW w:w="2176" w:type="dxa"/>
            <w:gridSpan w:val="2"/>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限速装置</w:t>
            </w:r>
          </w:p>
        </w:tc>
        <w:tc>
          <w:tcPr>
            <w:tcW w:w="1575"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(X)XK-16-002</w:t>
            </w:r>
          </w:p>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附件6</w:t>
            </w:r>
          </w:p>
        </w:tc>
        <w:tc>
          <w:tcPr>
            <w:tcW w:w="977"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强制性</w:t>
            </w:r>
          </w:p>
        </w:tc>
        <w:tc>
          <w:tcPr>
            <w:tcW w:w="1843"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(X)XK-16-002</w:t>
            </w:r>
          </w:p>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附件6 条款4</w:t>
            </w:r>
          </w:p>
        </w:tc>
        <w:tc>
          <w:tcPr>
            <w:tcW w:w="1250"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原样</w:t>
            </w:r>
          </w:p>
        </w:tc>
        <w:tc>
          <w:tcPr>
            <w:tcW w:w="1272" w:type="dxa"/>
            <w:vAlign w:val="center"/>
          </w:tcPr>
          <w:p w:rsidR="008E5D43" w:rsidRPr="00085470" w:rsidRDefault="008E5D43" w:rsidP="008E5D43">
            <w:pPr>
              <w:spacing w:line="320" w:lineRule="exact"/>
              <w:jc w:val="center"/>
              <w:rPr>
                <w:rFonts w:ascii="仿宋_GB2312" w:eastAsia="仿宋_GB2312" w:hAnsi="宋体" w:hint="eastAsia"/>
                <w:color w:val="000000"/>
                <w:szCs w:val="21"/>
              </w:rPr>
            </w:pPr>
            <w:r w:rsidRPr="00085470">
              <w:rPr>
                <w:rFonts w:ascii="仿宋_GB2312" w:eastAsia="仿宋_GB2312" w:hAnsi="宋体" w:hint="eastAsia"/>
                <w:color w:val="000000"/>
                <w:szCs w:val="21"/>
              </w:rPr>
              <w:t>留样</w:t>
            </w:r>
          </w:p>
        </w:tc>
      </w:tr>
      <w:tr w:rsidR="008E5D43" w:rsidRPr="00085470" w:rsidTr="000B2037">
        <w:trPr>
          <w:cantSplit/>
          <w:jc w:val="center"/>
        </w:trPr>
        <w:tc>
          <w:tcPr>
            <w:tcW w:w="9730" w:type="dxa"/>
            <w:gridSpan w:val="8"/>
          </w:tcPr>
          <w:p w:rsidR="008E5D43" w:rsidRPr="00AB03A8" w:rsidRDefault="008E5D43" w:rsidP="008E5D43">
            <w:pPr>
              <w:spacing w:line="320" w:lineRule="exact"/>
              <w:rPr>
                <w:rFonts w:ascii="仿宋_GB2312" w:eastAsia="仿宋_GB2312" w:hAnsi="宋体" w:hint="eastAsia"/>
                <w:color w:val="000000"/>
                <w:sz w:val="18"/>
                <w:szCs w:val="18"/>
              </w:rPr>
            </w:pPr>
            <w:r w:rsidRPr="00AB03A8">
              <w:rPr>
                <w:rFonts w:ascii="仿宋_GB2312" w:eastAsia="仿宋_GB2312" w:hAnsi="宋体" w:hint="eastAsia"/>
                <w:color w:val="000000"/>
                <w:sz w:val="18"/>
                <w:szCs w:val="18"/>
              </w:rPr>
              <w:t>注：情况①：若初次检测项目不包含车架/前叉组合件振动强度项目，则所有复检项目均以原样进行复检。</w:t>
            </w:r>
          </w:p>
          <w:p w:rsidR="008E5D43" w:rsidRPr="00AB03A8" w:rsidRDefault="008E5D43" w:rsidP="008E5D43">
            <w:pPr>
              <w:spacing w:line="320" w:lineRule="exact"/>
              <w:ind w:firstLineChars="200" w:firstLine="360"/>
              <w:rPr>
                <w:rFonts w:ascii="仿宋_GB2312" w:eastAsia="仿宋_GB2312" w:hAnsi="宋体" w:hint="eastAsia"/>
                <w:color w:val="000000"/>
                <w:sz w:val="18"/>
                <w:szCs w:val="18"/>
              </w:rPr>
            </w:pPr>
            <w:r w:rsidRPr="00AB03A8">
              <w:rPr>
                <w:rFonts w:ascii="仿宋_GB2312" w:eastAsia="仿宋_GB2312" w:hAnsi="宋体" w:hint="eastAsia"/>
                <w:color w:val="000000"/>
                <w:sz w:val="18"/>
                <w:szCs w:val="18"/>
              </w:rPr>
              <w:t>情况②：若初次检测项目包含车架/前叉组合件振动强度项目，则所有复检项目均以留样进行复检。</w:t>
            </w:r>
          </w:p>
        </w:tc>
      </w:tr>
    </w:tbl>
    <w:p w:rsidR="00AB03A8" w:rsidRDefault="00AB03A8" w:rsidP="00E26647">
      <w:pPr>
        <w:snapToGrid w:val="0"/>
        <w:spacing w:line="360" w:lineRule="auto"/>
        <w:rPr>
          <w:rFonts w:ascii="仿宋_GB2312" w:eastAsia="仿宋_GB2312" w:cs="Sim Sun"/>
          <w:b/>
          <w:color w:val="000000"/>
          <w:kern w:val="0"/>
          <w:sz w:val="28"/>
          <w:szCs w:val="28"/>
        </w:rPr>
      </w:pPr>
    </w:p>
    <w:p w:rsidR="00E26647" w:rsidRPr="00253BBD" w:rsidRDefault="00E26647" w:rsidP="00E26647">
      <w:pPr>
        <w:snapToGrid w:val="0"/>
        <w:spacing w:line="360" w:lineRule="auto"/>
        <w:rPr>
          <w:rFonts w:ascii="仿宋_GB2312" w:eastAsia="仿宋_GB2312" w:cs="Sim Sun"/>
          <w:b/>
          <w:color w:val="000000"/>
          <w:kern w:val="0"/>
          <w:sz w:val="28"/>
          <w:szCs w:val="28"/>
        </w:rPr>
      </w:pPr>
      <w:r w:rsidRPr="00253BBD">
        <w:rPr>
          <w:rFonts w:ascii="仿宋_GB2312" w:eastAsia="仿宋_GB2312" w:cs="Sim Sun" w:hint="eastAsia"/>
          <w:b/>
          <w:color w:val="000000"/>
          <w:kern w:val="0"/>
          <w:sz w:val="28"/>
          <w:szCs w:val="28"/>
        </w:rPr>
        <w:t>6.2检验应注意的问题</w:t>
      </w:r>
    </w:p>
    <w:p w:rsidR="00E26647" w:rsidRPr="00E55234" w:rsidRDefault="00E26647" w:rsidP="00E26647">
      <w:pPr>
        <w:spacing w:line="360" w:lineRule="auto"/>
        <w:rPr>
          <w:rFonts w:ascii="仿宋_GB2312" w:eastAsia="仿宋_GB2312"/>
          <w:color w:val="000000"/>
          <w:sz w:val="28"/>
          <w:szCs w:val="28"/>
        </w:rPr>
      </w:pPr>
      <w:r w:rsidRPr="00E55234">
        <w:rPr>
          <w:rFonts w:ascii="仿宋_GB2312" w:eastAsia="仿宋_GB2312" w:hint="eastAsia"/>
          <w:b/>
          <w:color w:val="000000"/>
          <w:sz w:val="28"/>
          <w:szCs w:val="28"/>
        </w:rPr>
        <w:t>6.2.1</w:t>
      </w:r>
      <w:r w:rsidRPr="00E55234">
        <w:rPr>
          <w:rFonts w:ascii="仿宋_GB2312" w:eastAsia="仿宋_GB2312" w:hint="eastAsia"/>
          <w:color w:val="00000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E26647" w:rsidRPr="00E55234" w:rsidRDefault="00E26647" w:rsidP="00E26647">
      <w:pPr>
        <w:spacing w:line="360" w:lineRule="auto"/>
        <w:rPr>
          <w:rFonts w:ascii="仿宋_GB2312" w:eastAsia="仿宋_GB2312"/>
          <w:color w:val="000000"/>
          <w:sz w:val="28"/>
          <w:szCs w:val="28"/>
        </w:rPr>
      </w:pPr>
      <w:r w:rsidRPr="00E55234">
        <w:rPr>
          <w:rFonts w:ascii="仿宋_GB2312" w:eastAsia="仿宋_GB2312" w:hint="eastAsia"/>
          <w:b/>
          <w:color w:val="000000"/>
          <w:sz w:val="28"/>
          <w:szCs w:val="28"/>
        </w:rPr>
        <w:t>6.2.2</w:t>
      </w:r>
      <w:r w:rsidRPr="00E55234">
        <w:rPr>
          <w:rFonts w:ascii="仿宋_GB2312" w:eastAsia="仿宋_GB2312" w:hint="eastAsia"/>
          <w:color w:val="000000"/>
          <w:sz w:val="28"/>
          <w:szCs w:val="28"/>
        </w:rPr>
        <w:t>若被检产品明示的质量要求高于本规范中检验项目依据的标准要求时，应按被检产品明示的质量要求判定。</w:t>
      </w:r>
    </w:p>
    <w:p w:rsidR="00E26647" w:rsidRPr="00E55234" w:rsidRDefault="00E26647" w:rsidP="00E26647">
      <w:pPr>
        <w:spacing w:line="360" w:lineRule="auto"/>
        <w:rPr>
          <w:rFonts w:ascii="仿宋_GB2312" w:eastAsia="仿宋_GB2312"/>
          <w:color w:val="000000"/>
          <w:sz w:val="28"/>
          <w:szCs w:val="28"/>
        </w:rPr>
      </w:pPr>
      <w:r w:rsidRPr="00E55234">
        <w:rPr>
          <w:rFonts w:ascii="仿宋_GB2312" w:eastAsia="仿宋_GB2312" w:hint="eastAsia"/>
          <w:b/>
          <w:color w:val="000000"/>
          <w:sz w:val="28"/>
          <w:szCs w:val="28"/>
        </w:rPr>
        <w:t>6.2.3</w:t>
      </w:r>
      <w:r w:rsidRPr="00E55234">
        <w:rPr>
          <w:rFonts w:ascii="仿宋_GB2312" w:eastAsia="仿宋_GB2312" w:hint="eastAsia"/>
          <w:color w:val="000000"/>
          <w:sz w:val="28"/>
          <w:szCs w:val="28"/>
        </w:rPr>
        <w:t>若被检产品明示的质量要求低于本规范中检验项目依据的强制性标准要求时，应按照强制性标准要求判定。</w:t>
      </w:r>
    </w:p>
    <w:p w:rsidR="00E26647" w:rsidRPr="00E55234" w:rsidRDefault="00E26647" w:rsidP="00E26647">
      <w:pPr>
        <w:spacing w:line="360" w:lineRule="auto"/>
        <w:rPr>
          <w:rFonts w:ascii="仿宋_GB2312" w:eastAsia="仿宋_GB2312"/>
          <w:color w:val="000000"/>
          <w:sz w:val="28"/>
          <w:szCs w:val="28"/>
        </w:rPr>
      </w:pPr>
      <w:r w:rsidRPr="00E55234">
        <w:rPr>
          <w:rFonts w:ascii="仿宋_GB2312" w:eastAsia="仿宋_GB2312" w:hint="eastAsia"/>
          <w:b/>
          <w:color w:val="000000"/>
          <w:sz w:val="28"/>
          <w:szCs w:val="28"/>
        </w:rPr>
        <w:t>6.2.4</w:t>
      </w:r>
      <w:r w:rsidRPr="00E55234">
        <w:rPr>
          <w:rFonts w:ascii="仿宋_GB2312" w:eastAsia="仿宋_GB2312" w:hint="eastAsia"/>
          <w:color w:val="000000"/>
          <w:sz w:val="28"/>
          <w:szCs w:val="28"/>
        </w:rPr>
        <w:t>若被检产品明示的质量要求低于或包含本规范中检验项目依据的推荐性标准要求时，应以被检产品明示的质量要求判定。</w:t>
      </w:r>
    </w:p>
    <w:p w:rsidR="00E26647" w:rsidRPr="00E55234" w:rsidRDefault="00E26647" w:rsidP="00E26647">
      <w:pPr>
        <w:spacing w:line="360" w:lineRule="auto"/>
        <w:rPr>
          <w:rFonts w:ascii="仿宋_GB2312" w:eastAsia="仿宋_GB2312"/>
          <w:color w:val="000000"/>
          <w:sz w:val="28"/>
          <w:szCs w:val="28"/>
        </w:rPr>
      </w:pPr>
      <w:r w:rsidRPr="00E55234">
        <w:rPr>
          <w:rFonts w:ascii="仿宋_GB2312" w:eastAsia="仿宋_GB2312" w:hint="eastAsia"/>
          <w:b/>
          <w:color w:val="000000"/>
          <w:sz w:val="28"/>
          <w:szCs w:val="28"/>
        </w:rPr>
        <w:t>6.2.5</w:t>
      </w:r>
      <w:r w:rsidRPr="00E55234">
        <w:rPr>
          <w:rFonts w:ascii="仿宋_GB2312" w:eastAsia="仿宋_GB2312" w:hint="eastAsia"/>
          <w:color w:val="000000"/>
          <w:sz w:val="28"/>
          <w:szCs w:val="28"/>
        </w:rPr>
        <w:t>若被检产品明示的质量要求缺少本规范中检验项目依据的强制性标准要求时，应按照强制性标准要求判定。</w:t>
      </w:r>
    </w:p>
    <w:p w:rsidR="00E26647" w:rsidRPr="00E55234" w:rsidRDefault="00E26647" w:rsidP="00E26647">
      <w:pPr>
        <w:spacing w:line="360" w:lineRule="auto"/>
        <w:rPr>
          <w:rFonts w:ascii="仿宋_GB2312" w:eastAsia="仿宋_GB2312"/>
          <w:color w:val="000000"/>
          <w:sz w:val="28"/>
          <w:szCs w:val="28"/>
        </w:rPr>
      </w:pPr>
      <w:r w:rsidRPr="00E55234">
        <w:rPr>
          <w:rFonts w:ascii="仿宋_GB2312" w:eastAsia="仿宋_GB2312" w:hint="eastAsia"/>
          <w:b/>
          <w:color w:val="000000"/>
          <w:sz w:val="28"/>
          <w:szCs w:val="28"/>
        </w:rPr>
        <w:t>6.2.6</w:t>
      </w:r>
      <w:r w:rsidRPr="00E55234">
        <w:rPr>
          <w:rFonts w:ascii="仿宋_GB2312" w:eastAsia="仿宋_GB2312" w:hint="eastAsia"/>
          <w:color w:val="000000"/>
          <w:sz w:val="28"/>
          <w:szCs w:val="28"/>
        </w:rPr>
        <w:t>若被检产品明示的质量要求缺少本规范中检验项目依据的推荐性标准要求时，该项目不参与判定，但应在检验报告备注中进行说明。</w:t>
      </w:r>
    </w:p>
    <w:p w:rsidR="00E26647" w:rsidRPr="00174AD8" w:rsidRDefault="00E26647" w:rsidP="00E26647">
      <w:pPr>
        <w:spacing w:line="360" w:lineRule="auto"/>
        <w:rPr>
          <w:rFonts w:ascii="仿宋_GB2312" w:eastAsia="仿宋_GB2312"/>
          <w:b/>
          <w:sz w:val="28"/>
          <w:szCs w:val="28"/>
        </w:rPr>
      </w:pPr>
      <w:r w:rsidRPr="00E55234">
        <w:rPr>
          <w:rFonts w:ascii="仿宋_GB2312" w:eastAsia="仿宋_GB2312" w:hint="eastAsia"/>
          <w:b/>
          <w:color w:val="000000"/>
          <w:sz w:val="28"/>
          <w:szCs w:val="28"/>
        </w:rPr>
        <w:t>6.2.7蓄电池充电：</w:t>
      </w:r>
      <w:r w:rsidRPr="00E55234">
        <w:rPr>
          <w:rFonts w:ascii="仿宋_GB2312" w:eastAsia="仿宋_GB2312" w:hint="eastAsia"/>
          <w:color w:val="000000"/>
          <w:sz w:val="28"/>
          <w:szCs w:val="28"/>
        </w:rPr>
        <w:t>最高车速及制动性能试验前，按规定对受试样品所配</w:t>
      </w:r>
      <w:r w:rsidRPr="00174AD8">
        <w:rPr>
          <w:rFonts w:ascii="仿宋_GB2312" w:eastAsia="仿宋_GB2312" w:hint="eastAsia"/>
          <w:sz w:val="28"/>
          <w:szCs w:val="28"/>
        </w:rPr>
        <w:t>蓄电池充电，且宜在充电器指示充足电后再进行2h浮充电处理。</w:t>
      </w:r>
    </w:p>
    <w:p w:rsidR="00E26647" w:rsidRPr="00174AD8" w:rsidRDefault="00E26647" w:rsidP="00E26647">
      <w:pPr>
        <w:spacing w:line="360" w:lineRule="auto"/>
        <w:rPr>
          <w:rFonts w:ascii="仿宋_GB2312" w:eastAsia="仿宋_GB2312"/>
          <w:sz w:val="28"/>
          <w:szCs w:val="28"/>
        </w:rPr>
      </w:pPr>
      <w:r w:rsidRPr="00174AD8">
        <w:rPr>
          <w:rFonts w:ascii="仿宋_GB2312" w:eastAsia="仿宋_GB2312" w:hint="eastAsia"/>
          <w:b/>
          <w:sz w:val="28"/>
          <w:szCs w:val="28"/>
        </w:rPr>
        <w:t>6.2.</w:t>
      </w:r>
      <w:r>
        <w:rPr>
          <w:rFonts w:ascii="仿宋_GB2312" w:eastAsia="仿宋_GB2312" w:hint="eastAsia"/>
          <w:b/>
          <w:sz w:val="28"/>
          <w:szCs w:val="28"/>
        </w:rPr>
        <w:t>8</w:t>
      </w:r>
      <w:r w:rsidRPr="00174AD8">
        <w:rPr>
          <w:rFonts w:ascii="仿宋_GB2312" w:eastAsia="仿宋_GB2312" w:hint="eastAsia"/>
          <w:b/>
          <w:sz w:val="28"/>
          <w:szCs w:val="28"/>
        </w:rPr>
        <w:t>轮胎气压调整：</w:t>
      </w:r>
      <w:r w:rsidRPr="00174AD8">
        <w:rPr>
          <w:rFonts w:ascii="仿宋_GB2312" w:eastAsia="仿宋_GB2312" w:hint="eastAsia"/>
          <w:sz w:val="28"/>
          <w:szCs w:val="28"/>
        </w:rPr>
        <w:t>最高车速及制动性能试验前，受试样品的前后轮胎应按其标注的最大推荐气压充足气。</w:t>
      </w:r>
    </w:p>
    <w:p w:rsidR="00E26647" w:rsidRPr="00174AD8" w:rsidRDefault="00E26647" w:rsidP="00E26647">
      <w:pPr>
        <w:spacing w:line="360" w:lineRule="auto"/>
        <w:rPr>
          <w:rFonts w:ascii="仿宋_GB2312" w:eastAsia="仿宋_GB2312"/>
          <w:sz w:val="28"/>
          <w:szCs w:val="28"/>
        </w:rPr>
      </w:pPr>
      <w:r w:rsidRPr="00174AD8">
        <w:rPr>
          <w:rFonts w:ascii="仿宋_GB2312" w:eastAsia="仿宋_GB2312" w:hint="eastAsia"/>
          <w:b/>
          <w:sz w:val="28"/>
          <w:szCs w:val="28"/>
        </w:rPr>
        <w:t>6.2.</w:t>
      </w:r>
      <w:r>
        <w:rPr>
          <w:rFonts w:ascii="仿宋_GB2312" w:eastAsia="仿宋_GB2312" w:hint="eastAsia"/>
          <w:b/>
          <w:sz w:val="28"/>
          <w:szCs w:val="28"/>
        </w:rPr>
        <w:t>9</w:t>
      </w:r>
      <w:r w:rsidRPr="00174AD8">
        <w:rPr>
          <w:rFonts w:ascii="仿宋_GB2312" w:eastAsia="仿宋_GB2312" w:hint="eastAsia"/>
          <w:b/>
          <w:sz w:val="28"/>
          <w:szCs w:val="28"/>
        </w:rPr>
        <w:t>车闸调整：</w:t>
      </w:r>
      <w:r w:rsidRPr="00174AD8">
        <w:rPr>
          <w:rFonts w:ascii="仿宋_GB2312" w:eastAsia="仿宋_GB2312" w:hint="eastAsia"/>
          <w:sz w:val="28"/>
          <w:szCs w:val="28"/>
        </w:rPr>
        <w:t>最高车速及制动性能试验时，可视具体情况对车闸进行检查调整。</w:t>
      </w:r>
    </w:p>
    <w:p w:rsidR="00E26647" w:rsidRPr="00174AD8" w:rsidRDefault="00E26647" w:rsidP="00E26647">
      <w:pPr>
        <w:spacing w:line="360" w:lineRule="auto"/>
        <w:rPr>
          <w:rFonts w:ascii="仿宋_GB2312" w:eastAsia="仿宋_GB2312"/>
          <w:b/>
          <w:sz w:val="28"/>
          <w:szCs w:val="28"/>
        </w:rPr>
      </w:pPr>
      <w:r w:rsidRPr="00174AD8">
        <w:rPr>
          <w:rFonts w:ascii="仿宋_GB2312" w:eastAsia="仿宋_GB2312" w:hint="eastAsia"/>
          <w:b/>
          <w:sz w:val="28"/>
          <w:szCs w:val="28"/>
        </w:rPr>
        <w:t>6.2.10关于最高车速试验</w:t>
      </w:r>
      <w:r>
        <w:rPr>
          <w:rFonts w:ascii="仿宋_GB2312" w:eastAsia="仿宋_GB2312" w:hint="eastAsia"/>
          <w:b/>
          <w:sz w:val="28"/>
          <w:szCs w:val="28"/>
        </w:rPr>
        <w:t>：</w:t>
      </w:r>
      <w:r w:rsidRPr="00174AD8">
        <w:rPr>
          <w:rFonts w:ascii="仿宋_GB2312" w:eastAsia="仿宋_GB2312" w:hint="eastAsia"/>
          <w:sz w:val="28"/>
          <w:szCs w:val="28"/>
        </w:rPr>
        <w:t>宜采用压带路试仪等精度较高的设备进行测量。</w:t>
      </w:r>
    </w:p>
    <w:p w:rsidR="00AB03A8" w:rsidRDefault="00E26647" w:rsidP="00AB03A8">
      <w:pPr>
        <w:spacing w:line="360" w:lineRule="auto"/>
        <w:rPr>
          <w:rFonts w:ascii="仿宋_GB2312" w:eastAsia="仿宋_GB2312"/>
          <w:sz w:val="28"/>
          <w:szCs w:val="28"/>
        </w:rPr>
      </w:pPr>
      <w:r w:rsidRPr="00174AD8">
        <w:rPr>
          <w:rFonts w:ascii="仿宋_GB2312" w:eastAsia="仿宋_GB2312" w:hint="eastAsia"/>
          <w:b/>
          <w:sz w:val="28"/>
          <w:szCs w:val="28"/>
        </w:rPr>
        <w:t>6.2.11欠压、过流保护功能的检验</w:t>
      </w:r>
      <w:r>
        <w:rPr>
          <w:rFonts w:ascii="仿宋_GB2312" w:eastAsia="仿宋_GB2312" w:hint="eastAsia"/>
          <w:b/>
          <w:sz w:val="28"/>
          <w:szCs w:val="28"/>
        </w:rPr>
        <w:t>：</w:t>
      </w:r>
      <w:r w:rsidRPr="00174AD8">
        <w:rPr>
          <w:rFonts w:ascii="仿宋_GB2312" w:eastAsia="仿宋_GB2312" w:hint="eastAsia"/>
          <w:sz w:val="28"/>
          <w:szCs w:val="28"/>
        </w:rPr>
        <w:t>若样品说明书中没有明示具体的欠压、过流保护值参数，且企业没有在抽样时当场提供具体参数值的，则可按样品所配控制器上明示的欠压、过流保护值参数检验判定；若控制器上也没有明示欠压、过流保护值参数的，则判本项目不合格。</w:t>
      </w:r>
    </w:p>
    <w:p w:rsidR="00AB03A8" w:rsidRDefault="00E26647" w:rsidP="00AB03A8">
      <w:pPr>
        <w:spacing w:line="360" w:lineRule="auto"/>
        <w:rPr>
          <w:rFonts w:ascii="仿宋_GB2312" w:eastAsia="仿宋_GB2312"/>
          <w:b/>
          <w:sz w:val="28"/>
          <w:szCs w:val="28"/>
        </w:rPr>
      </w:pPr>
      <w:r w:rsidRPr="00174AD8">
        <w:rPr>
          <w:rFonts w:ascii="仿宋_GB2312" w:eastAsia="仿宋_GB2312" w:hint="eastAsia"/>
          <w:b/>
          <w:sz w:val="28"/>
          <w:szCs w:val="28"/>
        </w:rPr>
        <w:t>6.2.12其他特殊情况的说明</w:t>
      </w:r>
    </w:p>
    <w:p w:rsidR="00E26647" w:rsidRPr="00174AD8" w:rsidRDefault="00E26647" w:rsidP="00AB03A8">
      <w:pPr>
        <w:spacing w:line="360" w:lineRule="auto"/>
        <w:ind w:firstLineChars="200" w:firstLine="560"/>
        <w:rPr>
          <w:rFonts w:ascii="仿宋_GB2312" w:eastAsia="仿宋_GB2312"/>
          <w:sz w:val="28"/>
          <w:szCs w:val="28"/>
        </w:rPr>
      </w:pPr>
      <w:r w:rsidRPr="00174AD8">
        <w:rPr>
          <w:rFonts w:ascii="仿宋_GB2312" w:eastAsia="仿宋_GB2312" w:hint="eastAsia"/>
          <w:sz w:val="28"/>
          <w:szCs w:val="28"/>
        </w:rPr>
        <w:t>检验过程中，样品出现控制失效（如飞车）、电动或电助动功能丧失等异常情况的，可以终止检验，直接判定检验结论为不合格。</w:t>
      </w:r>
    </w:p>
    <w:p w:rsidR="00E26647" w:rsidRPr="000B2037" w:rsidRDefault="00E26647" w:rsidP="00E26647">
      <w:pPr>
        <w:spacing w:line="360" w:lineRule="auto"/>
        <w:rPr>
          <w:rFonts w:ascii="仿宋_GB2312" w:eastAsia="仿宋_GB2312"/>
          <w:b/>
          <w:color w:val="FF0000"/>
          <w:sz w:val="28"/>
          <w:szCs w:val="28"/>
        </w:rPr>
      </w:pPr>
      <w:r w:rsidRPr="000B2037">
        <w:rPr>
          <w:rFonts w:ascii="仿宋_GB2312" w:eastAsia="仿宋_GB2312" w:hint="eastAsia"/>
          <w:b/>
          <w:color w:val="FF0000"/>
          <w:sz w:val="28"/>
          <w:szCs w:val="28"/>
        </w:rPr>
        <w:t>7判定原则</w:t>
      </w:r>
    </w:p>
    <w:p w:rsidR="00E26647" w:rsidRPr="000B2037" w:rsidRDefault="00E26647" w:rsidP="00E26647">
      <w:pPr>
        <w:spacing w:line="360" w:lineRule="auto"/>
        <w:ind w:firstLineChars="200" w:firstLine="560"/>
        <w:rPr>
          <w:rFonts w:ascii="仿宋_GB2312" w:eastAsia="仿宋_GB2312"/>
          <w:color w:val="FF0000"/>
          <w:sz w:val="28"/>
          <w:szCs w:val="28"/>
        </w:rPr>
      </w:pPr>
      <w:r w:rsidRPr="000B2037">
        <w:rPr>
          <w:rFonts w:ascii="仿宋_GB2312" w:eastAsia="仿宋_GB2312" w:cs="Sim Sun" w:hint="eastAsia"/>
          <w:color w:val="FF0000"/>
          <w:kern w:val="0"/>
          <w:sz w:val="28"/>
          <w:szCs w:val="28"/>
        </w:rPr>
        <w:t>经检验，当存在强制性项目不合格，判定为被抽查产品不合格;当产品所检项目全部合格时，判定为未发现不合格项目；当产品仅存在推荐性项目不合格，且</w:t>
      </w:r>
      <w:r w:rsidR="000B2037" w:rsidRPr="000B2037">
        <w:rPr>
          <w:rFonts w:ascii="仿宋_GB2312" w:eastAsia="仿宋_GB2312" w:cs="Sim Sun" w:hint="eastAsia"/>
          <w:color w:val="FF0000"/>
          <w:kern w:val="0"/>
          <w:sz w:val="28"/>
          <w:szCs w:val="28"/>
        </w:rPr>
        <w:t>标注执行</w:t>
      </w:r>
      <w:r w:rsidR="000B2037" w:rsidRPr="000B2037">
        <w:rPr>
          <w:rFonts w:ascii="仿宋_GB2312" w:eastAsia="仿宋_GB2312" w:cs="Sim Sun" w:hint="eastAsia"/>
          <w:color w:val="FF0000"/>
          <w:kern w:val="0"/>
          <w:sz w:val="28"/>
          <w:szCs w:val="28"/>
        </w:rPr>
        <w:t>GB 17761-1999</w:t>
      </w:r>
      <w:r w:rsidR="000B2037" w:rsidRPr="000B2037">
        <w:rPr>
          <w:rFonts w:ascii="仿宋_GB2312" w:eastAsia="仿宋_GB2312" w:cs="Sim Sun" w:hint="eastAsia"/>
          <w:color w:val="FF0000"/>
          <w:kern w:val="0"/>
          <w:sz w:val="28"/>
          <w:szCs w:val="28"/>
        </w:rPr>
        <w:t>时，</w:t>
      </w:r>
      <w:r w:rsidRPr="000B2037">
        <w:rPr>
          <w:rFonts w:ascii="仿宋_GB2312" w:eastAsia="仿宋_GB2312" w:cs="Sim Sun" w:hint="eastAsia"/>
          <w:color w:val="FF0000"/>
          <w:kern w:val="0"/>
          <w:sz w:val="28"/>
          <w:szCs w:val="28"/>
        </w:rPr>
        <w:t>判定为</w:t>
      </w:r>
      <w:r w:rsidR="000B2037" w:rsidRPr="000B2037">
        <w:rPr>
          <w:rFonts w:ascii="仿宋_GB2312" w:eastAsia="仿宋_GB2312" w:cs="Sim Sun" w:hint="eastAsia"/>
          <w:color w:val="FF0000"/>
          <w:kern w:val="0"/>
          <w:sz w:val="28"/>
          <w:szCs w:val="28"/>
        </w:rPr>
        <w:t>不符合明示</w:t>
      </w:r>
      <w:r w:rsidR="000B2037" w:rsidRPr="000B2037">
        <w:rPr>
          <w:rFonts w:ascii="仿宋_GB2312" w:eastAsia="仿宋_GB2312" w:cs="Sim Sun" w:hint="eastAsia"/>
          <w:color w:val="FF0000"/>
          <w:kern w:val="0"/>
          <w:sz w:val="28"/>
          <w:szCs w:val="28"/>
        </w:rPr>
        <w:t>GB 17761-1999</w:t>
      </w:r>
      <w:r w:rsidR="000B2037" w:rsidRPr="000B2037">
        <w:rPr>
          <w:rFonts w:ascii="仿宋_GB2312" w:eastAsia="仿宋_GB2312" w:cs="Sim Sun" w:hint="eastAsia"/>
          <w:color w:val="FF0000"/>
          <w:kern w:val="0"/>
          <w:sz w:val="28"/>
          <w:szCs w:val="28"/>
        </w:rPr>
        <w:t>标准</w:t>
      </w:r>
      <w:r w:rsidRPr="000B2037">
        <w:rPr>
          <w:rFonts w:ascii="仿宋_GB2312" w:eastAsia="仿宋_GB2312" w:cs="Sim Sun" w:hint="eastAsia"/>
          <w:color w:val="FF0000"/>
          <w:kern w:val="0"/>
          <w:sz w:val="28"/>
          <w:szCs w:val="28"/>
        </w:rPr>
        <w:t>。</w:t>
      </w:r>
    </w:p>
    <w:p w:rsidR="00E26647" w:rsidRPr="00F61FE5" w:rsidRDefault="00E26647" w:rsidP="00E26647">
      <w:pPr>
        <w:snapToGrid w:val="0"/>
        <w:spacing w:line="360" w:lineRule="auto"/>
        <w:rPr>
          <w:rFonts w:ascii="仿宋_GB2312" w:eastAsia="仿宋_GB2312" w:hAnsi="宋体"/>
          <w:b/>
          <w:sz w:val="28"/>
          <w:szCs w:val="28"/>
        </w:rPr>
      </w:pPr>
      <w:r>
        <w:rPr>
          <w:rFonts w:ascii="仿宋_GB2312" w:eastAsia="仿宋_GB2312" w:hAnsi="宋体" w:hint="eastAsia"/>
          <w:b/>
          <w:sz w:val="28"/>
          <w:szCs w:val="28"/>
        </w:rPr>
        <w:t>8</w:t>
      </w:r>
      <w:r w:rsidRPr="00F61FE5">
        <w:rPr>
          <w:rFonts w:ascii="仿宋_GB2312" w:eastAsia="仿宋_GB2312" w:hAnsi="宋体" w:hint="eastAsia"/>
          <w:b/>
          <w:sz w:val="28"/>
          <w:szCs w:val="28"/>
        </w:rPr>
        <w:t>异议处理复检</w:t>
      </w:r>
    </w:p>
    <w:p w:rsidR="00E26647" w:rsidRPr="00E55234" w:rsidRDefault="00E26647" w:rsidP="00E26647">
      <w:pPr>
        <w:snapToGrid w:val="0"/>
        <w:spacing w:line="360" w:lineRule="auto"/>
        <w:rPr>
          <w:rFonts w:ascii="仿宋_GB2312" w:eastAsia="仿宋_GB2312" w:hAnsi="宋体"/>
          <w:iCs/>
          <w:color w:val="000000"/>
          <w:sz w:val="28"/>
          <w:szCs w:val="28"/>
        </w:rPr>
      </w:pPr>
      <w:r w:rsidRPr="00E55234">
        <w:rPr>
          <w:rFonts w:ascii="仿宋_GB2312" w:eastAsia="仿宋_GB2312" w:hAnsi="宋体" w:hint="eastAsia"/>
          <w:b/>
          <w:iCs/>
          <w:color w:val="000000"/>
          <w:sz w:val="28"/>
          <w:szCs w:val="28"/>
        </w:rPr>
        <w:t>8.1</w:t>
      </w:r>
      <w:r w:rsidRPr="00E55234">
        <w:rPr>
          <w:rFonts w:ascii="仿宋_GB2312" w:eastAsia="仿宋_GB2312" w:hAnsi="宋体" w:hint="eastAsia"/>
          <w:iCs/>
          <w:color w:val="000000"/>
          <w:sz w:val="28"/>
          <w:szCs w:val="28"/>
        </w:rPr>
        <w:t>被抽查企业在收到检验结果，对结果有异议时，可以自收到检验结果之日起15日内向深圳市市场监督管理局提出书面复检申请。逾期未提出异议的，视为承认检验结果。</w:t>
      </w:r>
    </w:p>
    <w:p w:rsidR="00E26647" w:rsidRPr="00E55234" w:rsidRDefault="00E26647" w:rsidP="00E26647">
      <w:pPr>
        <w:snapToGrid w:val="0"/>
        <w:spacing w:line="360" w:lineRule="auto"/>
        <w:rPr>
          <w:rFonts w:ascii="仿宋_GB2312" w:eastAsia="仿宋_GB2312" w:hAnsi="宋体"/>
          <w:iCs/>
          <w:color w:val="000000"/>
          <w:sz w:val="28"/>
          <w:szCs w:val="28"/>
        </w:rPr>
      </w:pPr>
      <w:r w:rsidRPr="00E55234">
        <w:rPr>
          <w:rFonts w:ascii="仿宋_GB2312" w:eastAsia="仿宋_GB2312" w:hAnsi="宋体" w:hint="eastAsia"/>
          <w:b/>
          <w:iCs/>
          <w:color w:val="000000"/>
          <w:sz w:val="28"/>
          <w:szCs w:val="28"/>
        </w:rPr>
        <w:t>8.2</w:t>
      </w:r>
      <w:r w:rsidRPr="00E55234">
        <w:rPr>
          <w:rFonts w:ascii="仿宋_GB2312" w:eastAsia="仿宋_GB2312" w:hAnsi="宋体" w:hint="eastAsia"/>
          <w:iCs/>
          <w:color w:val="000000"/>
          <w:sz w:val="28"/>
          <w:szCs w:val="28"/>
        </w:rPr>
        <w:t>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rsidR="00E26647" w:rsidRPr="00E55234" w:rsidRDefault="00E26647" w:rsidP="00E26647">
      <w:pPr>
        <w:snapToGrid w:val="0"/>
        <w:spacing w:line="360" w:lineRule="auto"/>
        <w:rPr>
          <w:rFonts w:ascii="仿宋_GB2312" w:eastAsia="仿宋_GB2312" w:hAnsi="宋体"/>
          <w:iCs/>
          <w:color w:val="000000"/>
          <w:sz w:val="28"/>
          <w:szCs w:val="28"/>
        </w:rPr>
      </w:pPr>
      <w:r w:rsidRPr="00E55234">
        <w:rPr>
          <w:rFonts w:ascii="仿宋_GB2312" w:eastAsia="仿宋_GB2312" w:hAnsi="宋体" w:hint="eastAsia"/>
          <w:b/>
          <w:iCs/>
          <w:color w:val="000000"/>
          <w:sz w:val="28"/>
          <w:szCs w:val="28"/>
        </w:rPr>
        <w:t>8.3</w:t>
      </w:r>
      <w:r w:rsidRPr="00E55234">
        <w:rPr>
          <w:rFonts w:ascii="仿宋_GB2312" w:eastAsia="仿宋_GB2312" w:hAnsi="宋体" w:hint="eastAsia"/>
          <w:iCs/>
          <w:color w:val="000000"/>
          <w:sz w:val="28"/>
          <w:szCs w:val="28"/>
        </w:rPr>
        <w:t>复验检验人员与初检检验人员不得为同一人。</w:t>
      </w:r>
    </w:p>
    <w:p w:rsidR="00E26647" w:rsidRPr="00E55234" w:rsidRDefault="00E26647" w:rsidP="00E26647">
      <w:pPr>
        <w:snapToGrid w:val="0"/>
        <w:spacing w:line="360" w:lineRule="auto"/>
        <w:rPr>
          <w:rFonts w:ascii="仿宋_GB2312" w:eastAsia="仿宋_GB2312" w:hAnsi="宋体"/>
          <w:iCs/>
          <w:color w:val="000000"/>
          <w:sz w:val="28"/>
          <w:szCs w:val="28"/>
        </w:rPr>
      </w:pPr>
      <w:r w:rsidRPr="00E55234">
        <w:rPr>
          <w:rFonts w:ascii="仿宋_GB2312" w:eastAsia="仿宋_GB2312" w:hAnsi="宋体" w:hint="eastAsia"/>
          <w:b/>
          <w:iCs/>
          <w:color w:val="000000"/>
          <w:sz w:val="28"/>
          <w:szCs w:val="28"/>
        </w:rPr>
        <w:t>8.4</w:t>
      </w:r>
      <w:r w:rsidRPr="00E55234">
        <w:rPr>
          <w:rFonts w:ascii="仿宋_GB2312" w:eastAsia="仿宋_GB2312" w:hAnsi="宋体" w:hint="eastAsia"/>
          <w:iCs/>
          <w:color w:val="000000"/>
          <w:sz w:val="28"/>
          <w:szCs w:val="28"/>
        </w:rPr>
        <w:t>需对不合格项目复验时，按6.1选择复验样品。当复验结果仍不合格，维持原检验结果不变。当复验结果合格，以复验结果为准。</w:t>
      </w:r>
    </w:p>
    <w:p w:rsidR="00E26647" w:rsidRPr="00E55234" w:rsidRDefault="00E26647" w:rsidP="00E26647">
      <w:pPr>
        <w:snapToGrid w:val="0"/>
        <w:spacing w:line="360" w:lineRule="auto"/>
        <w:rPr>
          <w:rFonts w:ascii="仿宋_GB2312" w:eastAsia="仿宋_GB2312" w:hAnsi="宋体"/>
          <w:iCs/>
          <w:color w:val="000000"/>
          <w:sz w:val="28"/>
          <w:szCs w:val="28"/>
        </w:rPr>
      </w:pPr>
      <w:r w:rsidRPr="00E55234">
        <w:rPr>
          <w:rFonts w:ascii="仿宋_GB2312" w:eastAsia="仿宋_GB2312" w:hAnsi="宋体" w:hint="eastAsia"/>
          <w:b/>
          <w:iCs/>
          <w:color w:val="000000"/>
          <w:sz w:val="28"/>
          <w:szCs w:val="28"/>
        </w:rPr>
        <w:t>8.5</w:t>
      </w:r>
      <w:r w:rsidRPr="00E55234">
        <w:rPr>
          <w:rFonts w:ascii="仿宋_GB2312" w:eastAsia="仿宋_GB2312" w:hAnsi="宋体" w:hint="eastAsia"/>
          <w:iCs/>
          <w:color w:val="000000"/>
          <w:sz w:val="28"/>
          <w:szCs w:val="28"/>
        </w:rPr>
        <w:t>深圳市市场监督管理局根据初检、复验结果及企业提交的证明材料，做出复检结论，复检结论为最终结论。</w:t>
      </w:r>
    </w:p>
    <w:p w:rsidR="000B2037" w:rsidRDefault="00E26647" w:rsidP="00E26647">
      <w:pPr>
        <w:snapToGrid w:val="0"/>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9</w:t>
      </w:r>
      <w:r w:rsidRPr="00FF62C0">
        <w:rPr>
          <w:rFonts w:ascii="仿宋_GB2312" w:eastAsia="仿宋_GB2312" w:hAnsi="宋体" w:hint="eastAsia"/>
          <w:b/>
          <w:color w:val="000000"/>
          <w:sz w:val="28"/>
          <w:szCs w:val="28"/>
        </w:rPr>
        <w:t>附则</w:t>
      </w:r>
    </w:p>
    <w:p w:rsidR="000B2037" w:rsidRDefault="00E26647" w:rsidP="000B2037">
      <w:pPr>
        <w:snapToGrid w:val="0"/>
        <w:spacing w:line="360" w:lineRule="auto"/>
        <w:ind w:firstLineChars="200" w:firstLine="560"/>
        <w:rPr>
          <w:rFonts w:ascii="仿宋_GB2312" w:eastAsia="仿宋_GB2312" w:hAnsi="宋体"/>
          <w:iCs/>
          <w:color w:val="000000"/>
          <w:sz w:val="28"/>
          <w:szCs w:val="28"/>
        </w:rPr>
      </w:pPr>
      <w:r w:rsidRPr="00FF62C0">
        <w:rPr>
          <w:rFonts w:ascii="仿宋_GB2312" w:eastAsia="仿宋_GB2312" w:hAnsi="宋体" w:hint="eastAsia"/>
          <w:iCs/>
          <w:color w:val="000000"/>
          <w:sz w:val="28"/>
          <w:szCs w:val="28"/>
        </w:rPr>
        <w:t>本规范编制单位：深圳市计量质量检测研究院。</w:t>
      </w:r>
    </w:p>
    <w:p w:rsidR="00E26647" w:rsidRDefault="00E26647" w:rsidP="000B2037">
      <w:pPr>
        <w:snapToGrid w:val="0"/>
        <w:spacing w:line="360" w:lineRule="auto"/>
        <w:ind w:firstLineChars="200" w:firstLine="560"/>
        <w:rPr>
          <w:rFonts w:ascii="仿宋_GB2312" w:eastAsia="仿宋_GB2312" w:hAnsi="宋体"/>
          <w:iCs/>
          <w:color w:val="000000"/>
          <w:sz w:val="28"/>
          <w:szCs w:val="28"/>
        </w:rPr>
      </w:pPr>
      <w:r w:rsidRPr="00FF62C0">
        <w:rPr>
          <w:rFonts w:ascii="仿宋_GB2312" w:eastAsia="仿宋_GB2312" w:hAnsi="宋体" w:hint="eastAsia"/>
          <w:iCs/>
          <w:color w:val="000000"/>
          <w:sz w:val="28"/>
          <w:szCs w:val="28"/>
        </w:rPr>
        <w:t>本规范由深圳市市场监督管理局质量处管理。</w:t>
      </w:r>
    </w:p>
    <w:sectPr w:rsidR="00E26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E5" w:rsidRDefault="005F16E5" w:rsidP="00D35D12">
      <w:r>
        <w:separator/>
      </w:r>
    </w:p>
  </w:endnote>
  <w:endnote w:type="continuationSeparator" w:id="0">
    <w:p w:rsidR="005F16E5" w:rsidRDefault="005F16E5" w:rsidP="00D3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 Sun">
    <w:altName w:val="宋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E5" w:rsidRDefault="005F16E5" w:rsidP="00D35D12">
      <w:r>
        <w:separator/>
      </w:r>
    </w:p>
  </w:footnote>
  <w:footnote w:type="continuationSeparator" w:id="0">
    <w:p w:rsidR="005F16E5" w:rsidRDefault="005F16E5" w:rsidP="00D35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647"/>
    <w:rsid w:val="00085470"/>
    <w:rsid w:val="000B2037"/>
    <w:rsid w:val="005F16E5"/>
    <w:rsid w:val="008E5D43"/>
    <w:rsid w:val="00912A22"/>
    <w:rsid w:val="00AB03A8"/>
    <w:rsid w:val="00D35D12"/>
    <w:rsid w:val="00E2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49E3A64-8AEF-4B9E-8C25-DC92CB40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64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E26647"/>
    <w:pPr>
      <w:spacing w:after="120" w:line="480" w:lineRule="auto"/>
      <w:ind w:leftChars="200" w:left="420"/>
    </w:pPr>
  </w:style>
  <w:style w:type="character" w:customStyle="1" w:styleId="2Char">
    <w:name w:val="正文文本缩进 2 Char"/>
    <w:link w:val="2"/>
    <w:rsid w:val="00E26647"/>
    <w:rPr>
      <w:rFonts w:ascii="Times New Roman" w:eastAsia="宋体" w:hAnsi="Times New Roman" w:cs="Times New Roman"/>
      <w:szCs w:val="24"/>
    </w:rPr>
  </w:style>
  <w:style w:type="paragraph" w:customStyle="1" w:styleId="Char">
    <w:name w:val="Char"/>
    <w:basedOn w:val="a"/>
    <w:autoRedefine/>
    <w:rsid w:val="00E26647"/>
    <w:pPr>
      <w:widowControl/>
      <w:spacing w:after="160" w:line="240" w:lineRule="exact"/>
      <w:jc w:val="left"/>
    </w:pPr>
    <w:rPr>
      <w:rFonts w:ascii="Verdana" w:hAnsi="Verdana"/>
      <w:kern w:val="0"/>
      <w:sz w:val="18"/>
      <w:szCs w:val="20"/>
      <w:lang w:eastAsia="en-US"/>
    </w:rPr>
  </w:style>
  <w:style w:type="paragraph" w:styleId="a3">
    <w:name w:val="header"/>
    <w:basedOn w:val="a"/>
    <w:link w:val="Char0"/>
    <w:uiPriority w:val="99"/>
    <w:unhideWhenUsed/>
    <w:rsid w:val="00D35D1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uiPriority w:val="99"/>
    <w:rsid w:val="00D35D12"/>
    <w:rPr>
      <w:rFonts w:ascii="Times New Roman" w:hAnsi="Times New Roman"/>
      <w:kern w:val="2"/>
      <w:sz w:val="18"/>
      <w:szCs w:val="18"/>
    </w:rPr>
  </w:style>
  <w:style w:type="paragraph" w:styleId="a4">
    <w:name w:val="footer"/>
    <w:basedOn w:val="a"/>
    <w:link w:val="Char1"/>
    <w:uiPriority w:val="99"/>
    <w:unhideWhenUsed/>
    <w:rsid w:val="00D35D12"/>
    <w:pPr>
      <w:tabs>
        <w:tab w:val="center" w:pos="4153"/>
        <w:tab w:val="right" w:pos="8306"/>
      </w:tabs>
      <w:snapToGrid w:val="0"/>
      <w:jc w:val="left"/>
    </w:pPr>
    <w:rPr>
      <w:sz w:val="18"/>
      <w:szCs w:val="18"/>
    </w:rPr>
  </w:style>
  <w:style w:type="character" w:customStyle="1" w:styleId="Char1">
    <w:name w:val="页脚 Char"/>
    <w:link w:val="a4"/>
    <w:uiPriority w:val="99"/>
    <w:rsid w:val="00D35D1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545</Words>
  <Characters>3109</Characters>
  <Application>Microsoft Office Word</Application>
  <DocSecurity>0</DocSecurity>
  <Lines>25</Lines>
  <Paragraphs>7</Paragraphs>
  <ScaleCrop>false</ScaleCrop>
  <Company>Microsoft</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yckj</dc:creator>
  <cp:keywords/>
  <cp:lastModifiedBy>李力</cp:lastModifiedBy>
  <cp:revision>6</cp:revision>
  <cp:lastPrinted>2017-05-16T02:04:00Z</cp:lastPrinted>
  <dcterms:created xsi:type="dcterms:W3CDTF">2017-06-14T10:20:00Z</dcterms:created>
  <dcterms:modified xsi:type="dcterms:W3CDTF">2017-06-14T10:32:00Z</dcterms:modified>
</cp:coreProperties>
</file>