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olor w:val="auto"/>
          <w:sz w:val="32"/>
          <w:szCs w:val="32"/>
          <w:highlight w:val="none"/>
        </w:rPr>
      </w:pPr>
      <w:r>
        <w:rPr>
          <w:rFonts w:hint="eastAsia" w:ascii="黑体" w:hAnsi="宋体" w:eastAsia="黑体"/>
          <w:color w:val="auto"/>
          <w:sz w:val="32"/>
          <w:szCs w:val="32"/>
          <w:highlight w:val="none"/>
        </w:rPr>
        <w:t>附件</w:t>
      </w:r>
      <w:r>
        <w:rPr>
          <w:rFonts w:ascii="黑体" w:hAnsi="宋体" w:eastAsia="黑体"/>
          <w:color w:val="auto"/>
          <w:sz w:val="32"/>
          <w:szCs w:val="32"/>
          <w:highlight w:val="none"/>
        </w:rPr>
        <w:t>1</w:t>
      </w:r>
    </w:p>
    <w:p>
      <w:pPr>
        <w:spacing w:beforeLines="75" w:line="360" w:lineRule="auto"/>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深圳市市场监督管理局</w:t>
      </w:r>
    </w:p>
    <w:p>
      <w:pPr>
        <w:spacing w:beforeLines="75" w:line="360" w:lineRule="auto"/>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车用燃油产品质量监督抽查实施规范</w:t>
      </w:r>
    </w:p>
    <w:p>
      <w:pPr>
        <w:spacing w:beforeLines="75" w:line="360" w:lineRule="auto"/>
        <w:jc w:val="center"/>
        <w:rPr>
          <w:rFonts w:ascii="黑体" w:hAnsi="黑体" w:eastAsia="黑体"/>
          <w:color w:val="auto"/>
          <w:sz w:val="28"/>
          <w:highlight w:val="none"/>
        </w:rPr>
      </w:pPr>
      <w:r>
        <w:rPr>
          <w:rFonts w:hint="eastAsia" w:ascii="黑体" w:hAnsi="黑体" w:eastAsia="黑体"/>
          <w:color w:val="auto"/>
          <w:sz w:val="28"/>
          <w:highlight w:val="none"/>
        </w:rPr>
        <w:t>编号</w:t>
      </w:r>
      <w:r>
        <w:rPr>
          <w:rFonts w:ascii="黑体" w:hAnsi="黑体" w:eastAsia="黑体"/>
          <w:color w:val="auto"/>
          <w:sz w:val="28"/>
          <w:highlight w:val="none"/>
        </w:rPr>
        <w:t>：</w:t>
      </w:r>
      <w:r>
        <w:rPr>
          <w:rFonts w:hint="eastAsia" w:ascii="黑体" w:hAnsi="黑体" w:eastAsia="黑体"/>
          <w:color w:val="auto"/>
          <w:sz w:val="28"/>
          <w:highlight w:val="none"/>
        </w:rPr>
        <w:t>CCGF-SZ-147-2020</w:t>
      </w:r>
    </w:p>
    <w:p>
      <w:pPr>
        <w:snapToGrid w:val="0"/>
        <w:spacing w:line="360" w:lineRule="auto"/>
        <w:rPr>
          <w:rFonts w:ascii="仿宋_GB2312" w:hAnsi="宋体" w:eastAsia="仿宋_GB2312" w:cs="Times New Roman"/>
          <w:b/>
          <w:color w:val="auto"/>
          <w:szCs w:val="21"/>
          <w:highlight w:val="none"/>
        </w:rPr>
      </w:pPr>
      <w:bookmarkStart w:id="0" w:name="_GoBack"/>
      <w:bookmarkEnd w:id="0"/>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1 适用范围</w:t>
      </w:r>
    </w:p>
    <w:p>
      <w:pPr>
        <w:snapToGrid w:val="0"/>
        <w:spacing w:line="360" w:lineRule="auto"/>
        <w:ind w:firstLine="548" w:firstLineChars="196"/>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本规范适用于深圳市流通领域车用燃油产品质量监督抽查。监督抽查产品范围适用于：车用汽油（92号车用汽油、95号车用汽油和98号车用汽油等）、车用柴油（5号车用柴油、0号车用柴油等）。</w:t>
      </w:r>
    </w:p>
    <w:p>
      <w:pPr>
        <w:snapToGrid w:val="0"/>
        <w:spacing w:line="360" w:lineRule="auto"/>
        <w:ind w:firstLine="548" w:firstLineChars="196"/>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2产品种类</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产品种类见表1。</w:t>
      </w:r>
    </w:p>
    <w:p>
      <w:pPr>
        <w:snapToGrid w:val="0"/>
        <w:jc w:val="center"/>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表1  产品种类</w:t>
      </w:r>
    </w:p>
    <w:tbl>
      <w:tblPr>
        <w:tblStyle w:val="14"/>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blHeader/>
          <w:jc w:val="center"/>
        </w:trPr>
        <w:tc>
          <w:tcPr>
            <w:tcW w:w="1965" w:type="dxa"/>
            <w:vAlign w:val="center"/>
          </w:tcPr>
          <w:p>
            <w:pPr>
              <w:snapToGrid w:val="0"/>
              <w:spacing w:line="300" w:lineRule="exact"/>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产品种类</w:t>
            </w:r>
          </w:p>
        </w:tc>
        <w:tc>
          <w:tcPr>
            <w:tcW w:w="6305" w:type="dxa"/>
            <w:vAlign w:val="center"/>
          </w:tcPr>
          <w:p>
            <w:pPr>
              <w:snapToGrid w:val="0"/>
              <w:spacing w:line="300" w:lineRule="exact"/>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车用汽油</w:t>
            </w:r>
          </w:p>
        </w:tc>
        <w:tc>
          <w:tcPr>
            <w:tcW w:w="6305" w:type="dxa"/>
            <w:vAlign w:val="center"/>
          </w:tcPr>
          <w:p>
            <w:pPr>
              <w:autoSpaceDE w:val="0"/>
              <w:autoSpaceDN w:val="0"/>
              <w:adjustRightInd w:val="0"/>
              <w:spacing w:line="360" w:lineRule="auto"/>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92号车用汽油、95号车用汽油和98号车用汽油等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车用柴油</w:t>
            </w:r>
          </w:p>
        </w:tc>
        <w:tc>
          <w:tcPr>
            <w:tcW w:w="6305" w:type="dxa"/>
            <w:vAlign w:val="center"/>
          </w:tcPr>
          <w:p>
            <w:pPr>
              <w:autoSpaceDE w:val="0"/>
              <w:autoSpaceDN w:val="0"/>
              <w:adjustRightInd w:val="0"/>
              <w:spacing w:line="360" w:lineRule="auto"/>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5号车用柴油、0号车用柴油等</w:t>
            </w:r>
          </w:p>
        </w:tc>
      </w:tr>
    </w:tbl>
    <w:p>
      <w:pPr>
        <w:snapToGrid w:val="0"/>
        <w:spacing w:beforeLines="50"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3 术语和定义</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术语和定义见表2。</w:t>
      </w:r>
    </w:p>
    <w:p>
      <w:pPr>
        <w:snapToGrid w:val="0"/>
        <w:jc w:val="center"/>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表2 术语和定义</w:t>
      </w:r>
    </w:p>
    <w:tbl>
      <w:tblPr>
        <w:tblStyle w:val="14"/>
        <w:tblW w:w="8990"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blHeader/>
          <w:jc w:val="center"/>
        </w:trPr>
        <w:tc>
          <w:tcPr>
            <w:tcW w:w="1292" w:type="dxa"/>
            <w:vAlign w:val="center"/>
          </w:tcPr>
          <w:p>
            <w:pPr>
              <w:snapToGrid w:val="0"/>
              <w:spacing w:line="300" w:lineRule="exact"/>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产品种类</w:t>
            </w:r>
          </w:p>
        </w:tc>
        <w:tc>
          <w:tcPr>
            <w:tcW w:w="7698" w:type="dxa"/>
            <w:vAlign w:val="center"/>
          </w:tcPr>
          <w:p>
            <w:pPr>
              <w:snapToGrid w:val="0"/>
              <w:spacing w:line="300" w:lineRule="exact"/>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92" w:type="dxa"/>
            <w:vAlign w:val="center"/>
          </w:tcPr>
          <w:p>
            <w:pPr>
              <w:autoSpaceDE w:val="0"/>
              <w:autoSpaceDN w:val="0"/>
              <w:adjustRightInd w:val="0"/>
              <w:spacing w:line="300" w:lineRule="exact"/>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车用汽油</w:t>
            </w:r>
          </w:p>
        </w:tc>
        <w:tc>
          <w:tcPr>
            <w:tcW w:w="7698" w:type="dxa"/>
            <w:vAlign w:val="center"/>
          </w:tcPr>
          <w:p>
            <w:pPr>
              <w:autoSpaceDE w:val="0"/>
              <w:autoSpaceDN w:val="0"/>
              <w:adjustRightInd w:val="0"/>
              <w:spacing w:line="360" w:lineRule="auto"/>
              <w:rPr>
                <w:rFonts w:ascii="仿宋_GB2312" w:hAnsi="宋体" w:eastAsia="仿宋_GB2312" w:cs="Times New Roman"/>
                <w:color w:val="auto"/>
                <w:sz w:val="24"/>
                <w:szCs w:val="24"/>
                <w:highlight w:val="none"/>
              </w:rPr>
            </w:pPr>
            <w:r>
              <w:rPr>
                <w:rFonts w:ascii="仿宋_GB2312" w:hAnsi="宋体" w:eastAsia="仿宋_GB2312" w:cs="Times New Roman"/>
                <w:color w:val="auto"/>
                <w:sz w:val="24"/>
                <w:szCs w:val="24"/>
                <w:highlight w:val="none"/>
              </w:rPr>
              <w:t>车用汽油</w:t>
            </w:r>
            <w:r>
              <w:rPr>
                <w:rFonts w:hint="eastAsia" w:ascii="仿宋_GB2312" w:hAnsi="宋体" w:eastAsia="仿宋_GB2312" w:cs="Times New Roman"/>
                <w:color w:val="auto"/>
                <w:sz w:val="24"/>
                <w:szCs w:val="24"/>
                <w:highlight w:val="none"/>
              </w:rPr>
              <w:t>按研究法法辛烷值分为89号、92号、95号和98号车用汽油四个牌号。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92" w:type="dxa"/>
            <w:vAlign w:val="center"/>
          </w:tcPr>
          <w:p>
            <w:pPr>
              <w:autoSpaceDE w:val="0"/>
              <w:autoSpaceDN w:val="0"/>
              <w:adjustRightInd w:val="0"/>
              <w:spacing w:line="300" w:lineRule="exact"/>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车用柴油</w:t>
            </w:r>
          </w:p>
        </w:tc>
        <w:tc>
          <w:tcPr>
            <w:tcW w:w="7698" w:type="dxa"/>
            <w:vAlign w:val="center"/>
          </w:tcPr>
          <w:p>
            <w:pPr>
              <w:autoSpaceDE w:val="0"/>
              <w:autoSpaceDN w:val="0"/>
              <w:adjustRightInd w:val="0"/>
              <w:spacing w:line="360" w:lineRule="auto"/>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车用柴油按凝点分为5号、0号、-10号、-20号、-35号、-50号六个牌号。</w:t>
            </w:r>
          </w:p>
        </w:tc>
      </w:tr>
    </w:tbl>
    <w:p>
      <w:pPr>
        <w:snapToGrid w:val="0"/>
        <w:spacing w:beforeLines="50"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4 检验依据</w:t>
      </w:r>
    </w:p>
    <w:p>
      <w:pPr>
        <w:snapToGrid w:val="0"/>
        <w:spacing w:line="360" w:lineRule="auto"/>
        <w:ind w:firstLine="548" w:firstLineChars="196"/>
        <w:rPr>
          <w:rFonts w:ascii="仿宋_GB2312" w:hAnsi="宋体" w:eastAsia="仿宋_GB2312" w:cs="Times New Roman"/>
          <w:b/>
          <w:color w:val="auto"/>
          <w:sz w:val="28"/>
          <w:szCs w:val="28"/>
          <w:highlight w:val="none"/>
        </w:rPr>
      </w:pPr>
      <w:r>
        <w:rPr>
          <w:rFonts w:hint="eastAsia" w:ascii="仿宋_GB2312" w:hAnsi="宋体" w:eastAsia="仿宋_GB2312" w:cs="Times New Roman"/>
          <w:color w:val="auto"/>
          <w:sz w:val="28"/>
          <w:szCs w:val="28"/>
          <w:highlight w:val="none"/>
        </w:rPr>
        <w:t>凡是注日期的文件，其随后所有的修改单（不包括勘误的内容）或修订版不适用于本规范。凡是不注日期的文件，其最新版本适用于本规范。</w:t>
      </w:r>
    </w:p>
    <w:tbl>
      <w:tblPr>
        <w:tblStyle w:val="14"/>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3969"/>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051" w:type="dxa"/>
            <w:shd w:val="clear" w:color="auto" w:fill="auto"/>
            <w:vAlign w:val="center"/>
          </w:tcPr>
          <w:p>
            <w:pPr>
              <w:snapToGrid w:val="0"/>
              <w:spacing w:line="360" w:lineRule="auto"/>
              <w:jc w:val="cente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产品标准号</w:t>
            </w:r>
          </w:p>
        </w:tc>
        <w:tc>
          <w:tcPr>
            <w:tcW w:w="3969" w:type="dxa"/>
            <w:shd w:val="clear" w:color="auto" w:fill="auto"/>
            <w:vAlign w:val="center"/>
          </w:tcPr>
          <w:p>
            <w:pPr>
              <w:snapToGrid w:val="0"/>
              <w:spacing w:line="360" w:lineRule="auto"/>
              <w:jc w:val="cente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产品标准名称</w:t>
            </w:r>
          </w:p>
        </w:tc>
        <w:tc>
          <w:tcPr>
            <w:tcW w:w="3069" w:type="dxa"/>
            <w:shd w:val="clear" w:color="auto" w:fill="auto"/>
            <w:vAlign w:val="center"/>
          </w:tcPr>
          <w:p>
            <w:pPr>
              <w:snapToGrid w:val="0"/>
              <w:spacing w:line="360" w:lineRule="auto"/>
              <w:jc w:val="cente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051" w:type="dxa"/>
            <w:shd w:val="clear" w:color="auto" w:fill="auto"/>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w:t>
            </w:r>
          </w:p>
        </w:tc>
        <w:tc>
          <w:tcPr>
            <w:tcW w:w="3969" w:type="dxa"/>
            <w:shd w:val="clear" w:color="auto" w:fill="auto"/>
            <w:vAlign w:val="center"/>
          </w:tcPr>
          <w:p>
            <w:pPr>
              <w:autoSpaceDE w:val="0"/>
              <w:autoSpaceDN w:val="0"/>
              <w:adjustRightInd w:val="0"/>
              <w:spacing w:line="360" w:lineRule="auto"/>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车用汽油</w:t>
            </w:r>
          </w:p>
        </w:tc>
        <w:tc>
          <w:tcPr>
            <w:tcW w:w="3069" w:type="dxa"/>
            <w:shd w:val="clear" w:color="auto" w:fill="auto"/>
            <w:vAlign w:val="center"/>
          </w:tcPr>
          <w:p>
            <w:pPr>
              <w:snapToGrid w:val="0"/>
              <w:spacing w:line="360" w:lineRule="auto"/>
              <w:jc w:val="center"/>
              <w:rPr>
                <w:rFonts w:ascii="仿宋_GB2312" w:hAnsi="Calibri" w:eastAsia="仿宋_GB2312" w:cs="Times New Roman"/>
                <w:color w:val="auto"/>
                <w:sz w:val="24"/>
                <w:szCs w:val="24"/>
                <w:highlight w:val="none"/>
              </w:rPr>
            </w:pPr>
            <w:r>
              <w:rPr>
                <w:rFonts w:hint="eastAsia" w:ascii="仿宋_GB2312" w:hAnsi="Calibri" w:eastAsia="仿宋_GB2312" w:cs="Times New Roman"/>
                <w:color w:val="auto"/>
                <w:sz w:val="24"/>
                <w:szCs w:val="24"/>
                <w:highlight w:val="none"/>
              </w:rPr>
              <w:sym w:font="Wingdings 2" w:char="F052"/>
            </w:r>
            <w:r>
              <w:rPr>
                <w:rFonts w:hint="eastAsia" w:ascii="仿宋_GB2312" w:hAnsi="宋体" w:eastAsia="仿宋_GB2312" w:cs="Times New Roman"/>
                <w:color w:val="auto"/>
                <w:sz w:val="24"/>
                <w:szCs w:val="24"/>
                <w:highlight w:val="none"/>
              </w:rPr>
              <w:t xml:space="preserve">CMA  </w:t>
            </w:r>
            <w:r>
              <w:rPr>
                <w:rFonts w:hint="eastAsia" w:ascii="仿宋_GB2312" w:hAnsi="Calibri" w:eastAsia="仿宋_GB2312" w:cs="Times New Roman"/>
                <w:color w:val="auto"/>
                <w:sz w:val="24"/>
                <w:szCs w:val="24"/>
                <w:highlight w:val="none"/>
              </w:rPr>
              <w:sym w:font="Wingdings 2" w:char="F052"/>
            </w:r>
            <w:r>
              <w:rPr>
                <w:rFonts w:hint="eastAsia" w:ascii="仿宋_GB2312" w:hAnsi="宋体" w:eastAsia="仿宋_GB2312" w:cs="Times New Roman"/>
                <w:color w:val="auto"/>
                <w:sz w:val="24"/>
                <w:szCs w:val="24"/>
                <w:highlight w:val="none"/>
              </w:rPr>
              <w:t xml:space="preserve">CAL </w:t>
            </w:r>
            <w:r>
              <w:rPr>
                <w:rFonts w:hint="eastAsia" w:ascii="仿宋_GB2312" w:hAnsi="Calibri" w:eastAsia="仿宋_GB2312" w:cs="Times New Roman"/>
                <w:color w:val="auto"/>
                <w:sz w:val="24"/>
                <w:szCs w:val="24"/>
                <w:highlight w:val="none"/>
              </w:rPr>
              <w:sym w:font="Wingdings 2" w:char="F052"/>
            </w:r>
            <w:r>
              <w:rPr>
                <w:rFonts w:hint="eastAsia" w:ascii="仿宋_GB2312" w:hAnsi="宋体" w:eastAsia="仿宋_GB2312" w:cs="Times New Roman"/>
                <w:color w:val="auto"/>
                <w:sz w:val="24"/>
                <w:szCs w:val="24"/>
                <w:highlight w:val="none"/>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051" w:type="dxa"/>
            <w:shd w:val="clear" w:color="auto" w:fill="auto"/>
            <w:vAlign w:val="center"/>
          </w:tcPr>
          <w:p>
            <w:pPr>
              <w:autoSpaceDE w:val="0"/>
              <w:autoSpaceDN w:val="0"/>
              <w:adjustRightInd w:val="0"/>
              <w:spacing w:line="360" w:lineRule="auto"/>
              <w:jc w:val="center"/>
              <w:rPr>
                <w:rFonts w:ascii="仿宋_GB2312" w:hAnsi="宋体" w:eastAsia="仿宋_GB2312" w:cs="Times New Roman"/>
                <w:color w:val="auto"/>
                <w:sz w:val="24"/>
                <w:szCs w:val="24"/>
                <w:highlight w:val="none"/>
              </w:rPr>
            </w:pPr>
            <w:r>
              <w:rPr>
                <w:rFonts w:hint="eastAsia" w:ascii="仿宋_GB2312" w:hAnsi="宋体" w:eastAsia="仿宋_GB2312" w:cs="宋体"/>
                <w:color w:val="auto"/>
                <w:sz w:val="24"/>
                <w:szCs w:val="24"/>
                <w:highlight w:val="none"/>
              </w:rPr>
              <w:t>GB 19147-2016</w:t>
            </w:r>
          </w:p>
        </w:tc>
        <w:tc>
          <w:tcPr>
            <w:tcW w:w="3969" w:type="dxa"/>
            <w:shd w:val="clear" w:color="auto" w:fill="auto"/>
            <w:vAlign w:val="center"/>
          </w:tcPr>
          <w:p>
            <w:pPr>
              <w:autoSpaceDE w:val="0"/>
              <w:autoSpaceDN w:val="0"/>
              <w:adjustRightInd w:val="0"/>
              <w:spacing w:line="360" w:lineRule="auto"/>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车用柴油</w:t>
            </w:r>
          </w:p>
        </w:tc>
        <w:tc>
          <w:tcPr>
            <w:tcW w:w="3069" w:type="dxa"/>
            <w:shd w:val="clear" w:color="auto" w:fill="auto"/>
            <w:vAlign w:val="center"/>
          </w:tcPr>
          <w:p>
            <w:pPr>
              <w:snapToGrid w:val="0"/>
              <w:spacing w:line="360" w:lineRule="auto"/>
              <w:jc w:val="center"/>
              <w:rPr>
                <w:rFonts w:ascii="仿宋_GB2312" w:hAnsi="Calibri" w:eastAsia="仿宋_GB2312" w:cs="Times New Roman"/>
                <w:color w:val="auto"/>
                <w:sz w:val="24"/>
                <w:szCs w:val="24"/>
                <w:highlight w:val="none"/>
              </w:rPr>
            </w:pPr>
            <w:r>
              <w:rPr>
                <w:rFonts w:hint="eastAsia" w:ascii="仿宋_GB2312" w:hAnsi="Calibri" w:eastAsia="仿宋_GB2312" w:cs="Times New Roman"/>
                <w:color w:val="auto"/>
                <w:sz w:val="24"/>
                <w:szCs w:val="24"/>
                <w:highlight w:val="none"/>
              </w:rPr>
              <w:sym w:font="Wingdings 2" w:char="F052"/>
            </w:r>
            <w:r>
              <w:rPr>
                <w:rFonts w:hint="eastAsia" w:ascii="仿宋_GB2312" w:hAnsi="宋体" w:eastAsia="仿宋_GB2312" w:cs="Times New Roman"/>
                <w:color w:val="auto"/>
                <w:sz w:val="24"/>
                <w:szCs w:val="24"/>
                <w:highlight w:val="none"/>
              </w:rPr>
              <w:t xml:space="preserve">CMA  </w:t>
            </w:r>
            <w:r>
              <w:rPr>
                <w:rFonts w:hint="eastAsia" w:ascii="仿宋_GB2312" w:hAnsi="Calibri" w:eastAsia="仿宋_GB2312" w:cs="Times New Roman"/>
                <w:color w:val="auto"/>
                <w:sz w:val="24"/>
                <w:szCs w:val="24"/>
                <w:highlight w:val="none"/>
              </w:rPr>
              <w:sym w:font="Wingdings 2" w:char="F052"/>
            </w:r>
            <w:r>
              <w:rPr>
                <w:rFonts w:hint="eastAsia" w:ascii="仿宋_GB2312" w:hAnsi="宋体" w:eastAsia="仿宋_GB2312" w:cs="Times New Roman"/>
                <w:color w:val="auto"/>
                <w:sz w:val="24"/>
                <w:szCs w:val="24"/>
                <w:highlight w:val="none"/>
              </w:rPr>
              <w:t xml:space="preserve">CAL </w:t>
            </w:r>
            <w:r>
              <w:rPr>
                <w:rFonts w:hint="eastAsia" w:ascii="仿宋_GB2312" w:hAnsi="Calibri" w:eastAsia="仿宋_GB2312" w:cs="Times New Roman"/>
                <w:color w:val="auto"/>
                <w:sz w:val="24"/>
                <w:szCs w:val="24"/>
                <w:highlight w:val="none"/>
              </w:rPr>
              <w:sym w:font="Wingdings 2" w:char="F052"/>
            </w:r>
            <w:r>
              <w:rPr>
                <w:rFonts w:hint="eastAsia" w:ascii="仿宋_GB2312" w:hAnsi="宋体" w:eastAsia="仿宋_GB2312" w:cs="Times New Roman"/>
                <w:color w:val="auto"/>
                <w:sz w:val="24"/>
                <w:szCs w:val="24"/>
                <w:highlight w:val="none"/>
              </w:rPr>
              <w:t>CNAS</w:t>
            </w:r>
          </w:p>
        </w:tc>
      </w:tr>
    </w:tbl>
    <w:p>
      <w:pPr>
        <w:snapToGrid w:val="0"/>
        <w:spacing w:line="360" w:lineRule="auto"/>
        <w:ind w:firstLine="548" w:firstLineChars="196"/>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粤府函[2018]218号  广东省人民政府关于全面推广使用国VI车用燃油的通知；</w:t>
      </w:r>
    </w:p>
    <w:p>
      <w:pPr>
        <w:snapToGrid w:val="0"/>
        <w:spacing w:line="360" w:lineRule="auto"/>
        <w:ind w:firstLine="548" w:firstLineChars="196"/>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相关的产品强制性标准、行业标准、政府法规及产品的明示标准和明示担保内容。</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5 抽样</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5.1 抽样型号或规格</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车用汽油：92号车用汽油、95号车用汽油、98号车用汽油。</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车用柴油: 0号车用柴油。</w:t>
      </w:r>
    </w:p>
    <w:p>
      <w:pPr>
        <w:rPr>
          <w:rFonts w:ascii="仿宋_GB2312" w:hAnsi="宋体" w:eastAsia="仿宋_GB2312" w:cs="Times New Roman"/>
          <w:b/>
          <w:color w:val="auto"/>
          <w:sz w:val="28"/>
          <w:szCs w:val="28"/>
          <w:highlight w:val="none"/>
        </w:rPr>
      </w:pPr>
      <w:r>
        <w:rPr>
          <w:rFonts w:hint="eastAsia" w:ascii="仿宋_GB2312" w:hAnsi="仿宋" w:eastAsia="仿宋_GB2312" w:cs="Times New Roman"/>
          <w:b/>
          <w:color w:val="auto"/>
          <w:sz w:val="28"/>
          <w:szCs w:val="28"/>
          <w:highlight w:val="none"/>
        </w:rPr>
        <w:t xml:space="preserve">5.2 </w:t>
      </w:r>
      <w:r>
        <w:rPr>
          <w:rFonts w:hint="eastAsia" w:ascii="仿宋_GB2312" w:hAnsi="宋体" w:eastAsia="仿宋_GB2312" w:cs="Times New Roman"/>
          <w:b/>
          <w:color w:val="auto"/>
          <w:sz w:val="28"/>
          <w:szCs w:val="28"/>
          <w:highlight w:val="none"/>
        </w:rPr>
        <w:t xml:space="preserve">取样方式 </w:t>
      </w:r>
    </w:p>
    <w:p>
      <w:pPr>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加油站：直接从加油站的加油机出口处随机取样；</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油库：按GB/T 4756规定随机取样。</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在经销企业抽样，检验样品原则上以向商家购样为主，备用样品由商家先行无偿提供，并向被抽样企业提交《无偿提供样品通知书》及《退样通知书》，被抽样企业可凭《退样通知书》并按相关规定退回无偿提供的样品。</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5.3 抽样基数</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在生产企业和市场上抽样时，抽样基数应不少于抽取样品量。</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5.4 抽样数量</w:t>
      </w:r>
    </w:p>
    <w:tbl>
      <w:tblPr>
        <w:tblStyle w:val="15"/>
        <w:tblW w:w="6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060"/>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0" w:type="dxa"/>
          </w:tcPr>
          <w:p>
            <w:pPr>
              <w:widowControl/>
              <w:adjustRightInd w:val="0"/>
              <w:snapToGrid w:val="0"/>
              <w:spacing w:line="640" w:lineRule="exact"/>
              <w:jc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品种</w:t>
            </w:r>
          </w:p>
        </w:tc>
        <w:tc>
          <w:tcPr>
            <w:tcW w:w="2060" w:type="dxa"/>
          </w:tcPr>
          <w:p>
            <w:pPr>
              <w:widowControl/>
              <w:adjustRightInd w:val="0"/>
              <w:snapToGrid w:val="0"/>
              <w:spacing w:line="640" w:lineRule="exact"/>
              <w:jc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检测样品数量</w:t>
            </w:r>
          </w:p>
        </w:tc>
        <w:tc>
          <w:tcPr>
            <w:tcW w:w="2508" w:type="dxa"/>
          </w:tcPr>
          <w:p>
            <w:pPr>
              <w:widowControl/>
              <w:adjustRightInd w:val="0"/>
              <w:snapToGrid w:val="0"/>
              <w:spacing w:line="640" w:lineRule="exact"/>
              <w:jc w:val="center"/>
              <w:rPr>
                <w:rFonts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060" w:type="dxa"/>
            <w:vAlign w:val="center"/>
          </w:tcPr>
          <w:p>
            <w:pPr>
              <w:widowControl/>
              <w:adjustRightInd w:val="0"/>
              <w:snapToGrid w:val="0"/>
              <w:spacing w:line="640" w:lineRule="exact"/>
              <w:jc w:val="center"/>
              <w:rPr>
                <w:rStyle w:val="18"/>
                <w:rFonts w:ascii="仿宋_GB2312" w:eastAsia="仿宋_GB2312"/>
                <w:color w:val="auto"/>
                <w:sz w:val="24"/>
                <w:szCs w:val="24"/>
                <w:highlight w:val="none"/>
              </w:rPr>
            </w:pPr>
            <w:r>
              <w:rPr>
                <w:rStyle w:val="18"/>
                <w:rFonts w:hint="eastAsia" w:ascii="仿宋_GB2312" w:eastAsia="仿宋_GB2312"/>
                <w:color w:val="auto"/>
                <w:sz w:val="24"/>
                <w:szCs w:val="24"/>
                <w:highlight w:val="none"/>
              </w:rPr>
              <w:t>汽油</w:t>
            </w:r>
          </w:p>
        </w:tc>
        <w:tc>
          <w:tcPr>
            <w:tcW w:w="2060" w:type="dxa"/>
            <w:vAlign w:val="center"/>
          </w:tcPr>
          <w:p>
            <w:pPr>
              <w:widowControl/>
              <w:adjustRightInd w:val="0"/>
              <w:snapToGrid w:val="0"/>
              <w:spacing w:line="640" w:lineRule="exact"/>
              <w:jc w:val="center"/>
              <w:rPr>
                <w:rStyle w:val="18"/>
                <w:rFonts w:ascii="仿宋_GB2312" w:eastAsia="仿宋_GB2312"/>
                <w:color w:val="auto"/>
                <w:sz w:val="24"/>
                <w:szCs w:val="24"/>
                <w:highlight w:val="none"/>
              </w:rPr>
            </w:pPr>
            <w:r>
              <w:rPr>
                <w:rStyle w:val="18"/>
                <w:rFonts w:hint="eastAsia" w:ascii="仿宋_GB2312" w:eastAsia="仿宋_GB2312"/>
                <w:color w:val="auto"/>
                <w:sz w:val="24"/>
                <w:szCs w:val="24"/>
                <w:highlight w:val="none"/>
              </w:rPr>
              <w:t>至少2.7L</w:t>
            </w:r>
          </w:p>
        </w:tc>
        <w:tc>
          <w:tcPr>
            <w:tcW w:w="2508" w:type="dxa"/>
            <w:vAlign w:val="center"/>
          </w:tcPr>
          <w:p>
            <w:pPr>
              <w:widowControl/>
              <w:adjustRightInd w:val="0"/>
              <w:snapToGrid w:val="0"/>
              <w:spacing w:line="640" w:lineRule="exact"/>
              <w:jc w:val="center"/>
              <w:rPr>
                <w:rStyle w:val="18"/>
                <w:rFonts w:ascii="仿宋_GB2312" w:eastAsia="仿宋_GB2312"/>
                <w:color w:val="auto"/>
                <w:sz w:val="24"/>
                <w:szCs w:val="24"/>
                <w:highlight w:val="none"/>
              </w:rPr>
            </w:pPr>
            <w:r>
              <w:rPr>
                <w:rStyle w:val="18"/>
                <w:rFonts w:hint="eastAsia" w:ascii="仿宋_GB2312" w:eastAsia="仿宋_GB2312"/>
                <w:color w:val="auto"/>
                <w:sz w:val="24"/>
                <w:szCs w:val="24"/>
                <w:highlight w:val="none"/>
              </w:rPr>
              <w:t>至少2.7L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0" w:type="dxa"/>
            <w:vAlign w:val="center"/>
          </w:tcPr>
          <w:p>
            <w:pPr>
              <w:widowControl/>
              <w:adjustRightInd w:val="0"/>
              <w:snapToGrid w:val="0"/>
              <w:spacing w:line="640" w:lineRule="exact"/>
              <w:jc w:val="center"/>
              <w:rPr>
                <w:rStyle w:val="18"/>
                <w:rFonts w:ascii="仿宋_GB2312" w:eastAsia="仿宋_GB2312"/>
                <w:color w:val="auto"/>
                <w:sz w:val="24"/>
                <w:szCs w:val="24"/>
                <w:highlight w:val="none"/>
              </w:rPr>
            </w:pPr>
            <w:r>
              <w:rPr>
                <w:rStyle w:val="18"/>
                <w:rFonts w:hint="eastAsia" w:ascii="仿宋_GB2312" w:eastAsia="仿宋_GB2312"/>
                <w:color w:val="auto"/>
                <w:sz w:val="24"/>
                <w:szCs w:val="24"/>
                <w:highlight w:val="none"/>
              </w:rPr>
              <w:t>油</w:t>
            </w:r>
          </w:p>
        </w:tc>
        <w:tc>
          <w:tcPr>
            <w:tcW w:w="2060" w:type="dxa"/>
            <w:vAlign w:val="center"/>
          </w:tcPr>
          <w:p>
            <w:pPr>
              <w:widowControl/>
              <w:adjustRightInd w:val="0"/>
              <w:snapToGrid w:val="0"/>
              <w:spacing w:line="640" w:lineRule="exact"/>
              <w:jc w:val="center"/>
              <w:rPr>
                <w:rStyle w:val="18"/>
                <w:rFonts w:ascii="仿宋_GB2312" w:eastAsia="仿宋_GB2312"/>
                <w:color w:val="auto"/>
                <w:sz w:val="24"/>
                <w:szCs w:val="24"/>
                <w:highlight w:val="none"/>
              </w:rPr>
            </w:pPr>
            <w:r>
              <w:rPr>
                <w:rStyle w:val="18"/>
                <w:rFonts w:hint="eastAsia" w:ascii="仿宋_GB2312" w:eastAsia="仿宋_GB2312"/>
                <w:color w:val="auto"/>
                <w:sz w:val="24"/>
                <w:szCs w:val="24"/>
                <w:highlight w:val="none"/>
              </w:rPr>
              <w:t>至少2.2L</w:t>
            </w:r>
          </w:p>
        </w:tc>
        <w:tc>
          <w:tcPr>
            <w:tcW w:w="2508" w:type="dxa"/>
            <w:vAlign w:val="center"/>
          </w:tcPr>
          <w:p>
            <w:pPr>
              <w:widowControl/>
              <w:adjustRightInd w:val="0"/>
              <w:snapToGrid w:val="0"/>
              <w:spacing w:line="640" w:lineRule="exact"/>
              <w:jc w:val="center"/>
              <w:rPr>
                <w:rStyle w:val="18"/>
                <w:rFonts w:ascii="仿宋_GB2312" w:eastAsia="仿宋_GB2312"/>
                <w:color w:val="auto"/>
                <w:sz w:val="24"/>
                <w:szCs w:val="24"/>
                <w:highlight w:val="none"/>
              </w:rPr>
            </w:pPr>
            <w:r>
              <w:rPr>
                <w:rStyle w:val="18"/>
                <w:rFonts w:hint="eastAsia" w:ascii="仿宋_GB2312" w:eastAsia="仿宋_GB2312"/>
                <w:color w:val="auto"/>
                <w:sz w:val="24"/>
                <w:szCs w:val="24"/>
                <w:highlight w:val="none"/>
              </w:rPr>
              <w:t>至少2.2L</w:t>
            </w:r>
          </w:p>
        </w:tc>
      </w:tr>
    </w:tbl>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车用汽油：从同一加油机或同一储油罐中抽取2份样品，每份至少2.7L，保持密封包装，并加贴封条。所取的2份样品，一份用于检测，一份作为留样。</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车用柴油:从同一加油机或同一储油罐中抽取2份样品，每份至少2.2L，保持密封包装，并加贴封条。所取的2份样品，一份用于检测，一份作为留样。</w:t>
      </w:r>
    </w:p>
    <w:p>
      <w:pPr>
        <w:snapToGrid w:val="0"/>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生产领域及流通领域抽样，检测样品和备用样品均带回承检机构。</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5.5 样品处置</w:t>
      </w:r>
    </w:p>
    <w:p>
      <w:pPr>
        <w:snapToGrid w:val="0"/>
        <w:spacing w:line="360" w:lineRule="auto"/>
        <w:rPr>
          <w:rFonts w:ascii="仿宋_GB2312" w:hAnsi="宋体" w:eastAsia="仿宋_GB2312" w:cs="Times New Roman"/>
          <w:color w:val="auto"/>
          <w:sz w:val="28"/>
          <w:szCs w:val="28"/>
          <w:highlight w:val="none"/>
        </w:rPr>
      </w:pPr>
      <w:r>
        <w:rPr>
          <w:rFonts w:hint="eastAsia" w:ascii="仿宋_GB2312" w:hAnsi="ˎ̥" w:eastAsia="仿宋_GB2312" w:cs="Times New Roman"/>
          <w:b/>
          <w:color w:val="auto"/>
          <w:sz w:val="28"/>
          <w:szCs w:val="28"/>
          <w:highlight w:val="none"/>
        </w:rPr>
        <w:t>5.5.1</w:t>
      </w:r>
      <w:r>
        <w:rPr>
          <w:rFonts w:hint="eastAsia" w:ascii="仿宋_GB2312" w:hAnsi="宋体" w:eastAsia="仿宋_GB2312" w:cs="Times New Roman"/>
          <w:color w:val="auto"/>
          <w:sz w:val="28"/>
          <w:szCs w:val="28"/>
          <w:highlight w:val="none"/>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auto"/>
          <w:sz w:val="28"/>
          <w:szCs w:val="28"/>
          <w:highlight w:val="none"/>
        </w:rPr>
      </w:pPr>
      <w:r>
        <w:rPr>
          <w:rFonts w:hint="eastAsia" w:ascii="仿宋_GB2312" w:hAnsi="宋体" w:eastAsia="仿宋_GB2312" w:cs="Times New Roman"/>
          <w:b/>
          <w:color w:val="auto"/>
          <w:sz w:val="28"/>
          <w:szCs w:val="28"/>
          <w:highlight w:val="none"/>
        </w:rPr>
        <w:t>5.5.2</w:t>
      </w:r>
      <w:r>
        <w:rPr>
          <w:rFonts w:hint="eastAsia" w:ascii="仿宋_GB2312" w:hAnsi="Calibri" w:eastAsia="仿宋_GB2312" w:cs="Times New Roman"/>
          <w:color w:val="auto"/>
          <w:sz w:val="28"/>
          <w:szCs w:val="28"/>
          <w:highlight w:val="none"/>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5.6 抽样单</w:t>
      </w:r>
    </w:p>
    <w:p>
      <w:pPr>
        <w:snapToGrid w:val="0"/>
        <w:spacing w:line="360" w:lineRule="auto"/>
        <w:ind w:firstLine="537" w:firstLineChars="192"/>
        <w:rPr>
          <w:rFonts w:ascii="仿宋_GB2312" w:hAnsi="Calibri" w:eastAsia="仿宋_GB2312" w:cs="Sim Sun"/>
          <w:color w:val="auto"/>
          <w:kern w:val="0"/>
          <w:sz w:val="28"/>
          <w:szCs w:val="28"/>
          <w:highlight w:val="none"/>
        </w:rPr>
      </w:pPr>
      <w:r>
        <w:rPr>
          <w:rFonts w:hint="eastAsia" w:ascii="仿宋_GB2312" w:hAnsi="宋体" w:eastAsia="仿宋_GB2312" w:cs="Times New Roman"/>
          <w:color w:val="auto"/>
          <w:sz w:val="28"/>
          <w:szCs w:val="28"/>
          <w:highlight w:val="none"/>
        </w:rPr>
        <w:t>应按有关规定填写抽样单，并记录被抽查产品及企业相关信息。</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6 检验要求</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6.1 检验项目</w:t>
      </w:r>
    </w:p>
    <w:p>
      <w:pPr>
        <w:snapToGrid w:val="0"/>
        <w:spacing w:line="360" w:lineRule="auto"/>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6.1.1车用汽油</w:t>
      </w:r>
    </w:p>
    <w:tbl>
      <w:tblPr>
        <w:tblStyle w:val="14"/>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061"/>
        <w:gridCol w:w="2653"/>
        <w:gridCol w:w="978"/>
        <w:gridCol w:w="189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blHeader/>
          <w:jc w:val="center"/>
        </w:trPr>
        <w:tc>
          <w:tcPr>
            <w:tcW w:w="531" w:type="dxa"/>
            <w:vAlign w:val="center"/>
          </w:tcPr>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序号</w:t>
            </w:r>
          </w:p>
        </w:tc>
        <w:tc>
          <w:tcPr>
            <w:tcW w:w="2061" w:type="dxa"/>
            <w:vAlign w:val="center"/>
          </w:tcPr>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检验项目</w:t>
            </w:r>
          </w:p>
        </w:tc>
        <w:tc>
          <w:tcPr>
            <w:tcW w:w="2653" w:type="dxa"/>
            <w:vAlign w:val="center"/>
          </w:tcPr>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依据法律法规</w:t>
            </w:r>
          </w:p>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或标准条款</w:t>
            </w:r>
          </w:p>
        </w:tc>
        <w:tc>
          <w:tcPr>
            <w:tcW w:w="978" w:type="dxa"/>
            <w:vAlign w:val="center"/>
          </w:tcPr>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项目</w:t>
            </w:r>
          </w:p>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性质</w:t>
            </w:r>
          </w:p>
        </w:tc>
        <w:tc>
          <w:tcPr>
            <w:tcW w:w="1894" w:type="dxa"/>
            <w:vAlign w:val="center"/>
          </w:tcPr>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检测</w:t>
            </w:r>
            <w:r>
              <w:rPr>
                <w:rFonts w:hint="eastAsia" w:ascii="黑体" w:hAnsi="黑体" w:eastAsia="黑体" w:cs="Times New Roman"/>
                <w:color w:val="auto"/>
                <w:sz w:val="24"/>
                <w:highlight w:val="none"/>
              </w:rPr>
              <w:t>方法</w:t>
            </w:r>
          </w:p>
        </w:tc>
        <w:tc>
          <w:tcPr>
            <w:tcW w:w="1125" w:type="dxa"/>
            <w:vAlign w:val="center"/>
          </w:tcPr>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复检样品（原样/备样）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研究法辛烷值</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GB/T 5487</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w:t>
            </w:r>
          </w:p>
        </w:tc>
        <w:tc>
          <w:tcPr>
            <w:tcW w:w="2061" w:type="dxa"/>
            <w:vAlign w:val="center"/>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抗爆指数</w:t>
            </w:r>
            <w:r>
              <w:rPr>
                <w:rFonts w:hint="eastAsia" w:ascii="仿宋_GB2312" w:hAnsi="宋体" w:eastAsia="仿宋_GB2312" w:cs="宋体"/>
                <w:color w:val="auto"/>
                <w:sz w:val="24"/>
                <w:szCs w:val="24"/>
                <w:highlight w:val="none"/>
                <w:vertAlign w:val="superscript"/>
              </w:rPr>
              <w:fldChar w:fldCharType="begin"/>
            </w:r>
            <w:r>
              <w:rPr>
                <w:rFonts w:hint="eastAsia" w:ascii="仿宋_GB2312" w:hAnsi="宋体" w:eastAsia="仿宋_GB2312" w:cs="宋体"/>
                <w:color w:val="auto"/>
                <w:sz w:val="24"/>
                <w:szCs w:val="24"/>
                <w:highlight w:val="none"/>
                <w:vertAlign w:val="superscript"/>
              </w:rPr>
              <w:instrText xml:space="preserve"> QUOTE </w:instrText>
            </w:r>
            <w:r>
              <w:rPr>
                <w:rFonts w:ascii="仿宋_GB2312" w:eastAsia="仿宋_GB2312"/>
                <w:color w:val="auto"/>
                <w:sz w:val="24"/>
                <w:szCs w:val="24"/>
                <w:highlight w:val="none"/>
                <w:vertAlign w:val="superscript"/>
              </w:rPr>
              <w:drawing>
                <wp:inline distT="0" distB="0" distL="0" distR="0">
                  <wp:extent cx="2266315" cy="151130"/>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266315" cy="151130"/>
                          </a:xfrm>
                          <a:prstGeom prst="rect">
                            <a:avLst/>
                          </a:prstGeom>
                          <a:noFill/>
                          <a:ln>
                            <a:noFill/>
                          </a:ln>
                        </pic:spPr>
                      </pic:pic>
                    </a:graphicData>
                  </a:graphic>
                </wp:inline>
              </w:drawing>
            </w:r>
            <w:r>
              <w:rPr>
                <w:rFonts w:hint="eastAsia" w:ascii="仿宋_GB2312" w:hAnsi="宋体" w:eastAsia="仿宋_GB2312" w:cs="宋体"/>
                <w:color w:val="auto"/>
                <w:sz w:val="24"/>
                <w:szCs w:val="24"/>
                <w:highlight w:val="none"/>
                <w:vertAlign w:val="superscript"/>
              </w:rPr>
              <w:instrText xml:space="preserve"> </w:instrText>
            </w:r>
            <w:r>
              <w:rPr>
                <w:rFonts w:hint="eastAsia" w:ascii="仿宋_GB2312" w:hAnsi="宋体" w:eastAsia="仿宋_GB2312" w:cs="宋体"/>
                <w:color w:val="auto"/>
                <w:sz w:val="24"/>
                <w:szCs w:val="24"/>
                <w:highlight w:val="none"/>
                <w:vertAlign w:val="superscript"/>
              </w:rPr>
              <w:fldChar w:fldCharType="end"/>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503</w:t>
            </w:r>
          </w:p>
          <w:p>
            <w:pPr>
              <w:spacing w:before="120" w:after="120" w:line="220" w:lineRule="exact"/>
              <w:jc w:val="center"/>
              <w:rPr>
                <w:rFonts w:ascii="仿宋_GB2312" w:eastAsia="仿宋_GB2312"/>
                <w:color w:val="auto"/>
                <w:sz w:val="24"/>
                <w:szCs w:val="24"/>
                <w:highlight w:val="none"/>
              </w:rPr>
            </w:pPr>
            <w:r>
              <w:rPr>
                <w:rFonts w:hint="eastAsia" w:ascii="仿宋_GB2312" w:eastAsia="仿宋_GB2312"/>
                <w:bCs/>
                <w:color w:val="auto"/>
                <w:sz w:val="24"/>
                <w:szCs w:val="24"/>
                <w:highlight w:val="none"/>
              </w:rPr>
              <w:t>GB/T 5487</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3</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铅</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GB/T 8020</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4</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馏程</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GB/T 6536</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5</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胶质含量</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Merge w:val="restart"/>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8019</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5.1</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溶剂洗胶质</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Merge w:val="continue"/>
            <w:vAlign w:val="center"/>
          </w:tcPr>
          <w:p>
            <w:pPr>
              <w:spacing w:line="220" w:lineRule="exact"/>
              <w:jc w:val="center"/>
              <w:rPr>
                <w:rFonts w:ascii="仿宋_GB2312" w:eastAsia="仿宋_GB2312"/>
                <w:bCs/>
                <w:color w:val="auto"/>
                <w:sz w:val="24"/>
                <w:szCs w:val="24"/>
                <w:highlight w:val="none"/>
              </w:rPr>
            </w:pP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5.2</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未洗胶质</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Merge w:val="continue"/>
            <w:vAlign w:val="center"/>
          </w:tcPr>
          <w:p>
            <w:pPr>
              <w:spacing w:line="220" w:lineRule="exact"/>
              <w:jc w:val="center"/>
              <w:rPr>
                <w:rFonts w:ascii="仿宋_GB2312" w:eastAsia="仿宋_GB2312"/>
                <w:bCs/>
                <w:color w:val="auto"/>
                <w:sz w:val="24"/>
                <w:szCs w:val="24"/>
                <w:highlight w:val="none"/>
              </w:rPr>
            </w:pP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6</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诱导期</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8018</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7</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硫含量</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0689</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8</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硫醇（博士试验）</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NB/SH/T 0174</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9</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铜片腐蚀</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5096</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10</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水溶性酸或碱</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259</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11</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机械杂质及水分</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目测</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260</w:t>
            </w:r>
            <w:r>
              <w:rPr>
                <w:rFonts w:hint="eastAsia" w:ascii="仿宋_GB2312" w:eastAsia="仿宋_GB2312"/>
                <w:bCs/>
                <w:color w:val="auto"/>
                <w:sz w:val="24"/>
                <w:szCs w:val="24"/>
                <w:highlight w:val="none"/>
              </w:rPr>
              <w:br w:type="textWrapping"/>
            </w:r>
            <w:r>
              <w:rPr>
                <w:rFonts w:hint="eastAsia" w:ascii="仿宋_GB2312" w:eastAsia="仿宋_GB2312"/>
                <w:bCs/>
                <w:color w:val="auto"/>
                <w:sz w:val="24"/>
                <w:szCs w:val="24"/>
                <w:highlight w:val="none"/>
              </w:rPr>
              <w:t>GB/T 511</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12</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苯含量</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0713</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30519</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13</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芳烃含量</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11132</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30519</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14</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烯烃含量</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11132</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30519</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15</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氧含量</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NB/SH/T 0663</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16</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铁</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0712</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17</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锰</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NB/SH/T 0711</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18</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甲醇</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NB/SH/T 0663</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19</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密度</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17930-2016 5.4</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1884</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1885</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0604</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20</w:t>
            </w:r>
          </w:p>
        </w:tc>
        <w:tc>
          <w:tcPr>
            <w:tcW w:w="2061"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蒸气压</w:t>
            </w:r>
            <w:r>
              <w:rPr>
                <w:rFonts w:hint="eastAsia" w:ascii="仿宋_GB2312" w:hAnsi="宋体" w:eastAsia="仿宋_GB2312" w:cs="宋体"/>
                <w:color w:val="auto"/>
                <w:sz w:val="24"/>
                <w:szCs w:val="24"/>
                <w:highlight w:val="none"/>
                <w:vertAlign w:val="superscript"/>
              </w:rPr>
              <w:t>1)</w:t>
            </w:r>
          </w:p>
        </w:tc>
        <w:tc>
          <w:tcPr>
            <w:tcW w:w="265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粤府函[2018]218号和GB 17930-2016</w:t>
            </w:r>
          </w:p>
        </w:tc>
        <w:tc>
          <w:tcPr>
            <w:tcW w:w="978"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94"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8017</w:t>
            </w:r>
          </w:p>
        </w:tc>
        <w:tc>
          <w:tcPr>
            <w:tcW w:w="1125"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42" w:type="dxa"/>
            <w:gridSpan w:val="6"/>
            <w:vAlign w:val="center"/>
          </w:tcPr>
          <w:p>
            <w:pP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注：1.蒸气压项目不复检。</w:t>
            </w:r>
          </w:p>
        </w:tc>
      </w:tr>
    </w:tbl>
    <w:p>
      <w:pPr>
        <w:snapToGrid w:val="0"/>
        <w:spacing w:line="360" w:lineRule="auto"/>
        <w:rPr>
          <w:rFonts w:ascii="仿宋_GB2312" w:hAnsi="Calibri" w:eastAsia="仿宋_GB2312" w:cs="Sim Sun"/>
          <w:b/>
          <w:color w:val="auto"/>
          <w:kern w:val="0"/>
          <w:sz w:val="28"/>
          <w:szCs w:val="28"/>
          <w:highlight w:val="none"/>
        </w:rPr>
      </w:pPr>
      <w:r>
        <w:rPr>
          <w:rFonts w:hint="eastAsia" w:ascii="仿宋_GB2312" w:hAnsi="Calibri" w:eastAsia="仿宋_GB2312" w:cs="Sim Sun"/>
          <w:b/>
          <w:color w:val="auto"/>
          <w:kern w:val="0"/>
          <w:sz w:val="28"/>
          <w:szCs w:val="28"/>
          <w:highlight w:val="none"/>
        </w:rPr>
        <w:t>6.1.2车用柴油</w:t>
      </w:r>
    </w:p>
    <w:tbl>
      <w:tblPr>
        <w:tblStyle w:val="14"/>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031"/>
        <w:gridCol w:w="2693"/>
        <w:gridCol w:w="993"/>
        <w:gridCol w:w="184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blHeader/>
          <w:jc w:val="center"/>
        </w:trPr>
        <w:tc>
          <w:tcPr>
            <w:tcW w:w="537" w:type="dxa"/>
            <w:vAlign w:val="center"/>
          </w:tcPr>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序号</w:t>
            </w:r>
          </w:p>
        </w:tc>
        <w:tc>
          <w:tcPr>
            <w:tcW w:w="2031" w:type="dxa"/>
            <w:vAlign w:val="center"/>
          </w:tcPr>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检验项目</w:t>
            </w:r>
          </w:p>
        </w:tc>
        <w:tc>
          <w:tcPr>
            <w:tcW w:w="2693" w:type="dxa"/>
            <w:vAlign w:val="center"/>
          </w:tcPr>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依据法律法规</w:t>
            </w:r>
          </w:p>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或标准条款</w:t>
            </w:r>
          </w:p>
        </w:tc>
        <w:tc>
          <w:tcPr>
            <w:tcW w:w="993" w:type="dxa"/>
            <w:vAlign w:val="center"/>
          </w:tcPr>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项目</w:t>
            </w:r>
          </w:p>
          <w:p>
            <w:pPr>
              <w:pStyle w:val="5"/>
              <w:snapToGrid w:val="0"/>
              <w:spacing w:line="240" w:lineRule="exact"/>
              <w:jc w:val="center"/>
              <w:rPr>
                <w:rFonts w:ascii="黑体" w:hAnsi="黑体" w:eastAsia="黑体"/>
                <w:color w:val="auto"/>
                <w:sz w:val="24"/>
                <w:highlight w:val="none"/>
              </w:rPr>
            </w:pPr>
            <w:r>
              <w:rPr>
                <w:rFonts w:hint="eastAsia" w:ascii="黑体" w:hAnsi="黑体" w:eastAsia="黑体"/>
                <w:color w:val="auto"/>
                <w:sz w:val="24"/>
                <w:highlight w:val="none"/>
              </w:rPr>
              <w:t>性质</w:t>
            </w:r>
          </w:p>
        </w:tc>
        <w:tc>
          <w:tcPr>
            <w:tcW w:w="1842" w:type="dxa"/>
            <w:vAlign w:val="center"/>
          </w:tcPr>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检测</w:t>
            </w:r>
            <w:r>
              <w:rPr>
                <w:rFonts w:hint="eastAsia" w:ascii="黑体" w:hAnsi="黑体" w:eastAsia="黑体" w:cs="Times New Roman"/>
                <w:color w:val="auto"/>
                <w:sz w:val="24"/>
                <w:highlight w:val="none"/>
              </w:rPr>
              <w:t>方法</w:t>
            </w:r>
          </w:p>
        </w:tc>
        <w:tc>
          <w:tcPr>
            <w:tcW w:w="1177" w:type="dxa"/>
            <w:vAlign w:val="center"/>
          </w:tcPr>
          <w:p>
            <w:pPr>
              <w:snapToGrid w:val="0"/>
              <w:spacing w:line="280" w:lineRule="exact"/>
              <w:jc w:val="center"/>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复检样品（原样/备样）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总污染物</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33400</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2</w:t>
            </w:r>
          </w:p>
        </w:tc>
        <w:tc>
          <w:tcPr>
            <w:tcW w:w="2031" w:type="dxa"/>
            <w:vAlign w:val="center"/>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水分</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76" w:lineRule="auto"/>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260</w:t>
            </w:r>
          </w:p>
          <w:p>
            <w:pPr>
              <w:spacing w:before="120" w:after="120" w:line="220" w:lineRule="exact"/>
              <w:jc w:val="center"/>
              <w:rPr>
                <w:rFonts w:ascii="仿宋_GB2312" w:eastAsia="仿宋_GB2312"/>
                <w:color w:val="auto"/>
                <w:sz w:val="24"/>
                <w:szCs w:val="24"/>
                <w:highlight w:val="none"/>
              </w:rPr>
            </w:pPr>
            <w:r>
              <w:rPr>
                <w:rFonts w:hint="eastAsia" w:ascii="仿宋_GB2312" w:eastAsia="仿宋_GB2312"/>
                <w:bCs/>
                <w:color w:val="auto"/>
                <w:sz w:val="24"/>
                <w:szCs w:val="24"/>
                <w:highlight w:val="none"/>
              </w:rPr>
              <w:t>目测</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3</w:t>
            </w:r>
          </w:p>
        </w:tc>
        <w:tc>
          <w:tcPr>
            <w:tcW w:w="2031" w:type="dxa"/>
            <w:vAlign w:val="center"/>
          </w:tcPr>
          <w:p>
            <w:pPr>
              <w:spacing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酸度</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GB/T 258</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4</w:t>
            </w:r>
          </w:p>
        </w:tc>
        <w:tc>
          <w:tcPr>
            <w:tcW w:w="2031" w:type="dxa"/>
            <w:vAlign w:val="center"/>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氧化安定性</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SH/T 0175</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5</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硫含量</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SH/T 0689</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6</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10%蒸余物残炭</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17144</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7</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灰分</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508</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8</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铜片腐蚀</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5096</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9</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闪点（闭口）</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261</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10</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运动粘度</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265</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11</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凝点</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510</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12</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冷滤点</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0248</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13</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十六烷指数</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11139</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0694</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14</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十六烷值</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386</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15</w:t>
            </w:r>
          </w:p>
        </w:tc>
        <w:tc>
          <w:tcPr>
            <w:tcW w:w="2031" w:type="dxa"/>
            <w:vAlign w:val="center"/>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密度</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1884</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1885</w:t>
            </w:r>
          </w:p>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0604</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16</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馏程</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6536</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17</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脂肪酸甲酯</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GB/T 23801</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18</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润滑性</w:t>
            </w:r>
            <w:r>
              <w:rPr>
                <w:rFonts w:hint="eastAsia" w:ascii="仿宋_GB2312" w:hAnsi="宋体" w:eastAsia="仿宋_GB2312" w:cs="宋体"/>
                <w:color w:val="auto"/>
                <w:sz w:val="24"/>
                <w:szCs w:val="24"/>
                <w:highlight w:val="none"/>
                <w:vertAlign w:val="superscript"/>
              </w:rPr>
              <w:t>1)</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SH/T 0765</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7" w:type="dxa"/>
            <w:vAlign w:val="center"/>
          </w:tcPr>
          <w:p>
            <w:pPr>
              <w:spacing w:before="120" w:after="120" w:line="220" w:lineRule="exact"/>
              <w:jc w:val="center"/>
              <w:rPr>
                <w:rFonts w:ascii="仿宋_GB2312" w:eastAsia="仿宋_GB2312"/>
                <w:color w:val="auto"/>
                <w:sz w:val="24"/>
                <w:szCs w:val="24"/>
                <w:highlight w:val="none"/>
              </w:rPr>
            </w:pPr>
            <w:r>
              <w:rPr>
                <w:rFonts w:hint="eastAsia" w:ascii="仿宋_GB2312" w:hAnsi="宋体" w:eastAsia="仿宋_GB2312" w:cs="宋体"/>
                <w:color w:val="auto"/>
                <w:sz w:val="24"/>
                <w:szCs w:val="24"/>
                <w:highlight w:val="none"/>
              </w:rPr>
              <w:t>19</w:t>
            </w:r>
          </w:p>
        </w:tc>
        <w:tc>
          <w:tcPr>
            <w:tcW w:w="2031" w:type="dxa"/>
          </w:tcPr>
          <w:p>
            <w:pPr>
              <w:spacing w:before="120" w:after="120" w:line="2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多环芳烃</w:t>
            </w:r>
            <w:r>
              <w:rPr>
                <w:rFonts w:hint="eastAsia" w:ascii="仿宋_GB2312" w:hAnsi="宋体" w:eastAsia="仿宋_GB2312" w:cs="宋体"/>
                <w:color w:val="auto"/>
                <w:sz w:val="24"/>
                <w:szCs w:val="24"/>
                <w:highlight w:val="none"/>
                <w:vertAlign w:val="superscript"/>
              </w:rPr>
              <w:t>1)</w:t>
            </w:r>
          </w:p>
        </w:tc>
        <w:tc>
          <w:tcPr>
            <w:tcW w:w="2693" w:type="dxa"/>
            <w:vAlign w:val="center"/>
          </w:tcPr>
          <w:p>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GB 19147-2016 5.2</w:t>
            </w:r>
          </w:p>
        </w:tc>
        <w:tc>
          <w:tcPr>
            <w:tcW w:w="993" w:type="dxa"/>
            <w:vAlign w:val="center"/>
          </w:tcPr>
          <w:p>
            <w:pPr>
              <w:wordWrap w:val="0"/>
              <w:spacing w:line="240" w:lineRule="atLeast"/>
              <w:jc w:val="center"/>
              <w:rPr>
                <w:rStyle w:val="18"/>
                <w:rFonts w:ascii="仿宋_GB2312" w:hAnsi="宋体" w:eastAsia="仿宋_GB2312" w:cs="Times New Roman"/>
                <w:color w:val="auto"/>
                <w:sz w:val="24"/>
                <w:szCs w:val="24"/>
                <w:highlight w:val="none"/>
              </w:rPr>
            </w:pPr>
            <w:r>
              <w:rPr>
                <w:rStyle w:val="18"/>
                <w:rFonts w:hint="eastAsia" w:ascii="仿宋_GB2312" w:hAnsi="宋体" w:eastAsia="仿宋_GB2312" w:cs="Times New Roman"/>
                <w:color w:val="auto"/>
                <w:sz w:val="24"/>
                <w:szCs w:val="24"/>
                <w:highlight w:val="none"/>
              </w:rPr>
              <w:t>强制性</w:t>
            </w:r>
          </w:p>
        </w:tc>
        <w:tc>
          <w:tcPr>
            <w:tcW w:w="1842" w:type="dxa"/>
            <w:vAlign w:val="center"/>
          </w:tcPr>
          <w:p>
            <w:pPr>
              <w:spacing w:line="220" w:lineRule="exact"/>
              <w:jc w:val="center"/>
              <w:rPr>
                <w:rFonts w:ascii="仿宋_GB2312" w:eastAsia="仿宋_GB2312"/>
                <w:bCs/>
                <w:color w:val="auto"/>
                <w:sz w:val="24"/>
                <w:szCs w:val="24"/>
                <w:highlight w:val="none"/>
              </w:rPr>
            </w:pPr>
            <w:r>
              <w:rPr>
                <w:rFonts w:hint="eastAsia" w:ascii="仿宋_GB2312" w:eastAsia="仿宋_GB2312"/>
                <w:bCs/>
                <w:color w:val="auto"/>
                <w:sz w:val="24"/>
                <w:szCs w:val="24"/>
                <w:highlight w:val="none"/>
              </w:rPr>
              <w:t>NB/SH/T 0606</w:t>
            </w:r>
          </w:p>
        </w:tc>
        <w:tc>
          <w:tcPr>
            <w:tcW w:w="1177" w:type="dxa"/>
            <w:vAlign w:val="center"/>
          </w:tcPr>
          <w:p>
            <w:pPr>
              <w:jc w:val="center"/>
              <w:rPr>
                <w:rFonts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9273" w:type="dxa"/>
            <w:gridSpan w:val="6"/>
            <w:vAlign w:val="center"/>
          </w:tcPr>
          <w:p>
            <w:pPr>
              <w:spacing w:before="120" w:after="120" w:line="0" w:lineRule="atLeast"/>
              <w:ind w:left="480" w:hanging="480" w:hangingChars="200"/>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注：1.仅适用于油库的样品。</w:t>
            </w:r>
          </w:p>
        </w:tc>
      </w:tr>
    </w:tbl>
    <w:p>
      <w:pPr>
        <w:snapToGrid w:val="0"/>
        <w:spacing w:line="360" w:lineRule="auto"/>
        <w:rPr>
          <w:rFonts w:ascii="仿宋_GB2312" w:hAnsi="宋体" w:eastAsia="仿宋_GB2312" w:cs="Times New Roman"/>
          <w:b/>
          <w:color w:val="auto"/>
          <w:sz w:val="28"/>
          <w:szCs w:val="28"/>
          <w:highlight w:val="none"/>
        </w:rPr>
      </w:pPr>
      <w:r>
        <w:rPr>
          <w:rFonts w:hint="eastAsia" w:ascii="仿宋_GB2312" w:hAnsi="Calibri" w:eastAsia="仿宋_GB2312" w:cs="Sim Sun"/>
          <w:b/>
          <w:color w:val="auto"/>
          <w:kern w:val="0"/>
          <w:sz w:val="28"/>
          <w:szCs w:val="28"/>
          <w:highlight w:val="none"/>
        </w:rPr>
        <w:t>6.</w:t>
      </w:r>
      <w:r>
        <w:rPr>
          <w:rFonts w:ascii="仿宋_GB2312" w:hAnsi="Calibri" w:eastAsia="仿宋_GB2312" w:cs="Sim Sun"/>
          <w:b/>
          <w:color w:val="auto"/>
          <w:kern w:val="0"/>
          <w:sz w:val="28"/>
          <w:szCs w:val="28"/>
          <w:highlight w:val="none"/>
        </w:rPr>
        <w:t>2</w:t>
      </w:r>
      <w:r>
        <w:rPr>
          <w:rFonts w:hint="eastAsia" w:ascii="仿宋_GB2312" w:hAnsi="Calibri" w:eastAsia="仿宋_GB2312" w:cs="Sim Sun"/>
          <w:b/>
          <w:color w:val="auto"/>
          <w:kern w:val="0"/>
          <w:sz w:val="28"/>
          <w:szCs w:val="28"/>
          <w:highlight w:val="none"/>
        </w:rPr>
        <w:t xml:space="preserve"> 检验应注意的问题</w:t>
      </w:r>
    </w:p>
    <w:p>
      <w:pPr>
        <w:snapToGrid w:val="0"/>
        <w:spacing w:line="360" w:lineRule="auto"/>
        <w:rPr>
          <w:rFonts w:ascii="仿宋_GB2312" w:hAnsi="宋体" w:eastAsia="仿宋_GB2312" w:cs="Times New Roman"/>
          <w:iCs/>
          <w:color w:val="auto"/>
          <w:sz w:val="28"/>
          <w:szCs w:val="28"/>
          <w:highlight w:val="none"/>
        </w:rPr>
      </w:pPr>
      <w:r>
        <w:rPr>
          <w:rFonts w:hint="eastAsia" w:ascii="仿宋_GB2312" w:hAnsi="Calibri" w:eastAsia="仿宋_GB2312" w:cs="Sim Sun"/>
          <w:b/>
          <w:color w:val="auto"/>
          <w:kern w:val="0"/>
          <w:sz w:val="28"/>
          <w:szCs w:val="28"/>
          <w:highlight w:val="none"/>
        </w:rPr>
        <w:t>6.</w:t>
      </w:r>
      <w:r>
        <w:rPr>
          <w:rFonts w:ascii="仿宋_GB2312" w:hAnsi="Calibri" w:eastAsia="仿宋_GB2312" w:cs="Sim Sun"/>
          <w:b/>
          <w:color w:val="auto"/>
          <w:kern w:val="0"/>
          <w:sz w:val="28"/>
          <w:szCs w:val="28"/>
          <w:highlight w:val="none"/>
        </w:rPr>
        <w:t>2</w:t>
      </w:r>
      <w:r>
        <w:rPr>
          <w:rFonts w:hint="eastAsia" w:ascii="仿宋_GB2312" w:hAnsi="Calibri" w:eastAsia="仿宋_GB2312" w:cs="Sim Sun"/>
          <w:b/>
          <w:color w:val="auto"/>
          <w:kern w:val="0"/>
          <w:sz w:val="28"/>
          <w:szCs w:val="28"/>
          <w:highlight w:val="none"/>
        </w:rPr>
        <w:t>.1</w:t>
      </w:r>
      <w:r>
        <w:rPr>
          <w:rFonts w:hint="eastAsia" w:ascii="仿宋_GB2312" w:hAnsi="Calibri" w:eastAsia="仿宋_GB2312" w:cs="Sim Sun"/>
          <w:color w:val="auto"/>
          <w:kern w:val="0"/>
          <w:sz w:val="28"/>
          <w:szCs w:val="28"/>
          <w:highlight w:val="none"/>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auto"/>
          <w:sz w:val="28"/>
          <w:szCs w:val="28"/>
          <w:highlight w:val="none"/>
        </w:rPr>
        <w:t>备用</w:t>
      </w:r>
      <w:r>
        <w:rPr>
          <w:rFonts w:hint="eastAsia" w:ascii="仿宋_GB2312" w:hAnsi="宋体" w:eastAsia="仿宋_GB2312" w:cs="Times New Roman"/>
          <w:iCs/>
          <w:color w:val="auto"/>
          <w:sz w:val="28"/>
          <w:szCs w:val="28"/>
          <w:highlight w:val="none"/>
        </w:rPr>
        <w:t>样品应该贮存在阴凉、干燥、安全、避光处，在整个保存期间应保证签封完整无损。</w:t>
      </w:r>
    </w:p>
    <w:p>
      <w:pPr>
        <w:snapToGrid w:val="0"/>
        <w:spacing w:line="360" w:lineRule="auto"/>
        <w:rPr>
          <w:rFonts w:ascii="仿宋_GB2312" w:eastAsia="仿宋_GB2312" w:cs="Sim Sun"/>
          <w:color w:val="auto"/>
          <w:kern w:val="0"/>
          <w:sz w:val="28"/>
          <w:szCs w:val="28"/>
          <w:highlight w:val="none"/>
        </w:rPr>
      </w:pPr>
      <w:r>
        <w:rPr>
          <w:rFonts w:hint="eastAsia" w:ascii="仿宋_GB2312" w:eastAsia="仿宋_GB2312" w:cs="Sim Sun"/>
          <w:b/>
          <w:color w:val="auto"/>
          <w:kern w:val="0"/>
          <w:sz w:val="28"/>
          <w:szCs w:val="28"/>
          <w:highlight w:val="none"/>
        </w:rPr>
        <w:t>6.2.2</w:t>
      </w:r>
      <w:r>
        <w:rPr>
          <w:rFonts w:hint="eastAsia" w:ascii="仿宋_GB2312" w:eastAsia="仿宋_GB2312" w:cs="Sim Sun"/>
          <w:color w:val="auto"/>
          <w:kern w:val="0"/>
          <w:sz w:val="28"/>
          <w:szCs w:val="28"/>
          <w:highlight w:val="none"/>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auto"/>
          <w:kern w:val="0"/>
          <w:sz w:val="28"/>
          <w:szCs w:val="28"/>
          <w:highlight w:val="none"/>
        </w:rPr>
      </w:pPr>
      <w:r>
        <w:rPr>
          <w:rFonts w:hint="eastAsia" w:ascii="仿宋_GB2312" w:eastAsia="仿宋_GB2312" w:cs="Sim Sun"/>
          <w:b/>
          <w:color w:val="auto"/>
          <w:kern w:val="0"/>
          <w:sz w:val="28"/>
          <w:szCs w:val="28"/>
          <w:highlight w:val="none"/>
        </w:rPr>
        <w:t>6.2.3</w:t>
      </w:r>
      <w:r>
        <w:rPr>
          <w:rFonts w:hint="eastAsia" w:ascii="仿宋_GB2312" w:eastAsia="仿宋_GB2312" w:cs="Sim Sun"/>
          <w:color w:val="auto"/>
          <w:kern w:val="0"/>
          <w:sz w:val="28"/>
          <w:szCs w:val="28"/>
          <w:highlight w:val="none"/>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color w:val="auto"/>
          <w:kern w:val="0"/>
          <w:sz w:val="28"/>
          <w:szCs w:val="28"/>
          <w:highlight w:val="none"/>
        </w:rPr>
      </w:pPr>
      <w:r>
        <w:rPr>
          <w:rFonts w:hint="eastAsia" w:ascii="仿宋_GB2312" w:hAnsi="Calibri" w:eastAsia="仿宋_GB2312" w:cs="Sim Sun"/>
          <w:b/>
          <w:color w:val="auto"/>
          <w:kern w:val="0"/>
          <w:sz w:val="28"/>
          <w:szCs w:val="28"/>
          <w:highlight w:val="none"/>
        </w:rPr>
        <w:t>7 判定原则</w:t>
      </w:r>
    </w:p>
    <w:p>
      <w:pPr>
        <w:snapToGrid w:val="0"/>
        <w:spacing w:line="360" w:lineRule="auto"/>
        <w:ind w:firstLine="560" w:firstLineChars="200"/>
        <w:rPr>
          <w:rFonts w:ascii="仿宋_GB2312" w:hAnsi="Times New Roman" w:eastAsia="仿宋_GB2312" w:cs="Sim Sun"/>
          <w:color w:val="auto"/>
          <w:kern w:val="0"/>
          <w:sz w:val="28"/>
          <w:szCs w:val="28"/>
          <w:highlight w:val="none"/>
        </w:rPr>
      </w:pPr>
      <w:r>
        <w:rPr>
          <w:rFonts w:hint="eastAsia" w:ascii="仿宋_GB2312" w:eastAsia="仿宋_GB2312" w:cs="Sim Sun"/>
          <w:color w:val="auto"/>
          <w:kern w:val="0"/>
          <w:sz w:val="28"/>
          <w:szCs w:val="28"/>
          <w:highlight w:val="none"/>
        </w:rPr>
        <w:t>经检验，所检样品全部项目合格，判该产品本次监督检验结果合格；出现一项或一项以上</w:t>
      </w:r>
      <w:r>
        <w:rPr>
          <w:rFonts w:hint="eastAsia" w:ascii="仿宋_GB2312" w:hAnsi="宋体" w:eastAsia="仿宋_GB2312"/>
          <w:color w:val="auto"/>
          <w:sz w:val="28"/>
          <w:szCs w:val="28"/>
          <w:highlight w:val="none"/>
        </w:rPr>
        <w:t>项目</w:t>
      </w:r>
      <w:r>
        <w:rPr>
          <w:rFonts w:hint="eastAsia" w:ascii="仿宋_GB2312" w:eastAsia="仿宋_GB2312" w:cs="Sim Sun"/>
          <w:color w:val="auto"/>
          <w:kern w:val="0"/>
          <w:sz w:val="28"/>
          <w:szCs w:val="28"/>
          <w:highlight w:val="none"/>
        </w:rPr>
        <w:t>不合格，判该产品本次监督检验结果不合格。</w:t>
      </w:r>
    </w:p>
    <w:p>
      <w:pPr>
        <w:snapToGrid w:val="0"/>
        <w:spacing w:line="360" w:lineRule="auto"/>
        <w:rPr>
          <w:rFonts w:ascii="仿宋_GB2312" w:hAnsi="Calibri" w:eastAsia="仿宋_GB2312" w:cs="Sim Sun"/>
          <w:b/>
          <w:color w:val="auto"/>
          <w:kern w:val="0"/>
          <w:sz w:val="28"/>
          <w:szCs w:val="28"/>
          <w:highlight w:val="none"/>
        </w:rPr>
      </w:pPr>
      <w:r>
        <w:rPr>
          <w:rFonts w:hint="eastAsia" w:ascii="仿宋_GB2312" w:hAnsi="Calibri" w:eastAsia="仿宋_GB2312" w:cs="Sim Sun"/>
          <w:b/>
          <w:color w:val="auto"/>
          <w:kern w:val="0"/>
          <w:sz w:val="28"/>
          <w:szCs w:val="28"/>
          <w:highlight w:val="none"/>
        </w:rPr>
        <w:t>8 异议处理复检</w:t>
      </w:r>
    </w:p>
    <w:p>
      <w:pPr>
        <w:snapToGrid w:val="0"/>
        <w:spacing w:line="360" w:lineRule="auto"/>
        <w:rPr>
          <w:rFonts w:ascii="仿宋_GB2312" w:eastAsia="仿宋_GB2312" w:cs="Sim Sun"/>
          <w:iCs/>
          <w:color w:val="auto"/>
          <w:kern w:val="0"/>
          <w:sz w:val="28"/>
          <w:szCs w:val="28"/>
          <w:highlight w:val="none"/>
        </w:rPr>
      </w:pPr>
      <w:r>
        <w:rPr>
          <w:rFonts w:ascii="仿宋_GB2312" w:eastAsia="仿宋_GB2312" w:cs="Sim Sun"/>
          <w:b/>
          <w:iCs/>
          <w:color w:val="auto"/>
          <w:kern w:val="0"/>
          <w:sz w:val="28"/>
          <w:szCs w:val="28"/>
          <w:highlight w:val="none"/>
        </w:rPr>
        <w:t>8</w:t>
      </w:r>
      <w:r>
        <w:rPr>
          <w:rFonts w:hint="eastAsia" w:ascii="仿宋_GB2312" w:eastAsia="仿宋_GB2312" w:cs="Sim Sun"/>
          <w:b/>
          <w:iCs/>
          <w:color w:val="auto"/>
          <w:kern w:val="0"/>
          <w:sz w:val="28"/>
          <w:szCs w:val="28"/>
          <w:highlight w:val="none"/>
        </w:rPr>
        <w:t>.1</w:t>
      </w:r>
      <w:r>
        <w:rPr>
          <w:rFonts w:hint="eastAsia" w:ascii="仿宋_GB2312" w:eastAsia="仿宋_GB2312" w:cs="Sim Sun"/>
          <w:iCs/>
          <w:color w:val="auto"/>
          <w:kern w:val="0"/>
          <w:sz w:val="28"/>
          <w:szCs w:val="28"/>
          <w:highlight w:val="none"/>
        </w:rPr>
        <w:t>被抽查企业在收到检验结果，对结果有异议时，</w:t>
      </w:r>
      <w:r>
        <w:rPr>
          <w:rFonts w:ascii="仿宋_GB2312" w:eastAsia="仿宋_GB2312" w:cs="Sim Sun"/>
          <w:iCs/>
          <w:color w:val="auto"/>
          <w:kern w:val="0"/>
          <w:sz w:val="28"/>
          <w:szCs w:val="28"/>
          <w:highlight w:val="none"/>
        </w:rPr>
        <w:t>可以自收到检验结果之日起15日内向</w:t>
      </w:r>
      <w:r>
        <w:rPr>
          <w:rFonts w:hint="eastAsia" w:ascii="仿宋_GB2312" w:eastAsia="仿宋_GB2312" w:cs="Sim Sun"/>
          <w:iCs/>
          <w:color w:val="auto"/>
          <w:kern w:val="0"/>
          <w:sz w:val="28"/>
          <w:szCs w:val="28"/>
          <w:highlight w:val="none"/>
        </w:rPr>
        <w:t>深圳市市场监督管理局</w:t>
      </w:r>
      <w:r>
        <w:rPr>
          <w:rFonts w:ascii="仿宋_GB2312" w:eastAsia="仿宋_GB2312" w:cs="Sim Sun"/>
          <w:iCs/>
          <w:color w:val="auto"/>
          <w:kern w:val="0"/>
          <w:sz w:val="28"/>
          <w:szCs w:val="28"/>
          <w:highlight w:val="none"/>
        </w:rPr>
        <w:t>提出书面复检申请。逾期未提出异议的，视为承认检验结果。</w:t>
      </w:r>
    </w:p>
    <w:p>
      <w:pPr>
        <w:snapToGrid w:val="0"/>
        <w:spacing w:line="360" w:lineRule="auto"/>
        <w:rPr>
          <w:rFonts w:ascii="仿宋_GB2312" w:eastAsia="仿宋_GB2312" w:cs="Sim Sun"/>
          <w:iCs/>
          <w:color w:val="auto"/>
          <w:kern w:val="0"/>
          <w:sz w:val="28"/>
          <w:szCs w:val="28"/>
          <w:highlight w:val="none"/>
        </w:rPr>
      </w:pPr>
      <w:r>
        <w:rPr>
          <w:rFonts w:ascii="仿宋_GB2312" w:eastAsia="仿宋_GB2312" w:cs="Sim Sun"/>
          <w:b/>
          <w:iCs/>
          <w:color w:val="auto"/>
          <w:kern w:val="0"/>
          <w:sz w:val="28"/>
          <w:szCs w:val="28"/>
          <w:highlight w:val="none"/>
        </w:rPr>
        <w:t>8</w:t>
      </w:r>
      <w:r>
        <w:rPr>
          <w:rFonts w:hint="eastAsia" w:ascii="仿宋_GB2312" w:eastAsia="仿宋_GB2312" w:cs="Sim Sun"/>
          <w:b/>
          <w:iCs/>
          <w:color w:val="auto"/>
          <w:kern w:val="0"/>
          <w:sz w:val="28"/>
          <w:szCs w:val="28"/>
          <w:highlight w:val="none"/>
        </w:rPr>
        <w:t>.2</w:t>
      </w:r>
      <w:r>
        <w:rPr>
          <w:rFonts w:ascii="仿宋_GB2312" w:eastAsia="仿宋_GB2312" w:cs="Sim Sun"/>
          <w:iCs/>
          <w:color w:val="auto"/>
          <w:kern w:val="0"/>
          <w:sz w:val="28"/>
          <w:szCs w:val="28"/>
          <w:highlight w:val="none"/>
        </w:rPr>
        <w:t>检验机构</w:t>
      </w:r>
      <w:r>
        <w:rPr>
          <w:rFonts w:hint="eastAsia" w:ascii="仿宋_GB2312" w:eastAsia="仿宋_GB2312" w:cs="Sim Sun"/>
          <w:iCs/>
          <w:color w:val="auto"/>
          <w:kern w:val="0"/>
          <w:sz w:val="28"/>
          <w:szCs w:val="28"/>
          <w:highlight w:val="none"/>
        </w:rPr>
        <w:t>接到深圳市市场监督管理局的复检通知后</w:t>
      </w:r>
      <w:r>
        <w:rPr>
          <w:rFonts w:ascii="仿宋_GB2312" w:eastAsia="仿宋_GB2312" w:cs="Sim Sun"/>
          <w:iCs/>
          <w:color w:val="auto"/>
          <w:kern w:val="0"/>
          <w:sz w:val="28"/>
          <w:szCs w:val="28"/>
          <w:highlight w:val="none"/>
        </w:rPr>
        <w:t>应当按原监督抽查方案</w:t>
      </w:r>
      <w:r>
        <w:rPr>
          <w:rFonts w:hint="eastAsia" w:ascii="仿宋_GB2312" w:eastAsia="仿宋_GB2312" w:cs="Sim Sun"/>
          <w:iCs/>
          <w:color w:val="auto"/>
          <w:kern w:val="0"/>
          <w:sz w:val="28"/>
          <w:szCs w:val="28"/>
          <w:highlight w:val="none"/>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auto"/>
          <w:kern w:val="0"/>
          <w:sz w:val="28"/>
          <w:szCs w:val="28"/>
          <w:highlight w:val="none"/>
        </w:rPr>
        <w:t>的结论。</w:t>
      </w:r>
    </w:p>
    <w:p>
      <w:pPr>
        <w:snapToGrid w:val="0"/>
        <w:spacing w:line="360" w:lineRule="auto"/>
        <w:rPr>
          <w:rFonts w:ascii="仿宋_GB2312" w:eastAsia="仿宋_GB2312" w:cs="Sim Sun"/>
          <w:color w:val="auto"/>
          <w:kern w:val="0"/>
          <w:sz w:val="28"/>
          <w:szCs w:val="28"/>
          <w:highlight w:val="none"/>
        </w:rPr>
      </w:pPr>
      <w:r>
        <w:rPr>
          <w:rFonts w:hint="eastAsia" w:ascii="仿宋_GB2312" w:eastAsia="仿宋_GB2312" w:cs="Sim Sun"/>
          <w:b/>
          <w:color w:val="auto"/>
          <w:kern w:val="0"/>
          <w:sz w:val="28"/>
          <w:szCs w:val="28"/>
          <w:highlight w:val="none"/>
        </w:rPr>
        <w:t>8.</w:t>
      </w:r>
      <w:r>
        <w:rPr>
          <w:rFonts w:ascii="仿宋_GB2312" w:eastAsia="仿宋_GB2312" w:cs="Sim Sun"/>
          <w:b/>
          <w:color w:val="auto"/>
          <w:kern w:val="0"/>
          <w:sz w:val="28"/>
          <w:szCs w:val="28"/>
          <w:highlight w:val="none"/>
        </w:rPr>
        <w:t>3</w:t>
      </w:r>
      <w:r>
        <w:rPr>
          <w:rFonts w:ascii="仿宋_GB2312" w:eastAsia="仿宋_GB2312" w:cs="Sim Sun"/>
          <w:iCs/>
          <w:color w:val="auto"/>
          <w:kern w:val="0"/>
          <w:sz w:val="28"/>
          <w:szCs w:val="28"/>
          <w:highlight w:val="none"/>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ascii="仿宋_GB2312" w:eastAsia="仿宋_GB2312" w:cs="Sim Sun"/>
          <w:color w:val="auto"/>
          <w:kern w:val="0"/>
          <w:sz w:val="28"/>
          <w:szCs w:val="28"/>
          <w:highlight w:val="none"/>
        </w:rPr>
      </w:pPr>
      <w:r>
        <w:rPr>
          <w:rFonts w:hint="eastAsia" w:ascii="仿宋_GB2312" w:eastAsia="仿宋_GB2312" w:cs="Sim Sun"/>
          <w:b/>
          <w:color w:val="auto"/>
          <w:kern w:val="0"/>
          <w:sz w:val="28"/>
          <w:szCs w:val="28"/>
          <w:highlight w:val="none"/>
        </w:rPr>
        <w:t>8.4</w:t>
      </w:r>
      <w:r>
        <w:rPr>
          <w:rFonts w:hint="eastAsia" w:ascii="仿宋_GB2312" w:eastAsia="仿宋_GB2312" w:cs="Sim Sun"/>
          <w:color w:val="auto"/>
          <w:kern w:val="0"/>
          <w:sz w:val="28"/>
          <w:szCs w:val="28"/>
          <w:highlight w:val="none"/>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b/>
          <w:iCs/>
          <w:color w:val="auto"/>
          <w:kern w:val="0"/>
          <w:sz w:val="28"/>
          <w:szCs w:val="28"/>
          <w:highlight w:val="none"/>
        </w:rPr>
      </w:pPr>
      <w:r>
        <w:rPr>
          <w:rFonts w:hint="eastAsia" w:ascii="仿宋_GB2312" w:eastAsia="仿宋_GB2312" w:cs="Sim Sun"/>
          <w:b/>
          <w:iCs/>
          <w:color w:val="auto"/>
          <w:kern w:val="0"/>
          <w:sz w:val="28"/>
          <w:szCs w:val="28"/>
          <w:highlight w:val="none"/>
        </w:rPr>
        <w:t>8.</w:t>
      </w:r>
      <w:r>
        <w:rPr>
          <w:rFonts w:ascii="仿宋_GB2312" w:eastAsia="仿宋_GB2312" w:cs="Sim Sun"/>
          <w:b/>
          <w:iCs/>
          <w:color w:val="auto"/>
          <w:kern w:val="0"/>
          <w:sz w:val="28"/>
          <w:szCs w:val="28"/>
          <w:highlight w:val="none"/>
        </w:rPr>
        <w:t>5</w:t>
      </w:r>
      <w:r>
        <w:rPr>
          <w:rFonts w:ascii="仿宋_GB2312" w:eastAsia="仿宋_GB2312" w:cs="Sim Sun"/>
          <w:color w:val="auto"/>
          <w:kern w:val="0"/>
          <w:sz w:val="28"/>
          <w:szCs w:val="28"/>
          <w:highlight w:val="none"/>
        </w:rPr>
        <w:t>采用备样复验时，</w:t>
      </w:r>
      <w:r>
        <w:rPr>
          <w:rFonts w:hint="eastAsia" w:ascii="仿宋_GB2312" w:eastAsia="仿宋_GB2312" w:cs="Sim Sun"/>
          <w:color w:val="auto"/>
          <w:kern w:val="0"/>
          <w:sz w:val="28"/>
          <w:szCs w:val="28"/>
          <w:highlight w:val="none"/>
        </w:rPr>
        <w:t>若备样与原样的外观、组分等不一致时，检验结果以原检验结果为准。</w:t>
      </w:r>
    </w:p>
    <w:p>
      <w:pPr>
        <w:snapToGrid w:val="0"/>
        <w:spacing w:line="360" w:lineRule="auto"/>
        <w:rPr>
          <w:rFonts w:ascii="仿宋_GB2312" w:eastAsia="仿宋_GB2312" w:cs="Sim Sun"/>
          <w:iCs/>
          <w:color w:val="auto"/>
          <w:kern w:val="0"/>
          <w:sz w:val="28"/>
          <w:szCs w:val="28"/>
          <w:highlight w:val="none"/>
        </w:rPr>
      </w:pPr>
      <w:r>
        <w:rPr>
          <w:rFonts w:hint="eastAsia" w:ascii="仿宋_GB2312" w:eastAsia="仿宋_GB2312" w:cs="Sim Sun"/>
          <w:b/>
          <w:iCs/>
          <w:color w:val="auto"/>
          <w:kern w:val="0"/>
          <w:sz w:val="28"/>
          <w:szCs w:val="28"/>
          <w:highlight w:val="none"/>
        </w:rPr>
        <w:t>8.</w:t>
      </w:r>
      <w:r>
        <w:rPr>
          <w:rFonts w:ascii="仿宋_GB2312" w:eastAsia="仿宋_GB2312" w:cs="Sim Sun"/>
          <w:b/>
          <w:iCs/>
          <w:color w:val="auto"/>
          <w:kern w:val="0"/>
          <w:sz w:val="28"/>
          <w:szCs w:val="28"/>
          <w:highlight w:val="none"/>
        </w:rPr>
        <w:t>6</w:t>
      </w:r>
      <w:r>
        <w:rPr>
          <w:rFonts w:hint="eastAsia" w:ascii="仿宋_GB2312" w:eastAsia="仿宋_GB2312" w:cs="Sim Sun"/>
          <w:iCs/>
          <w:color w:val="auto"/>
          <w:kern w:val="0"/>
          <w:sz w:val="28"/>
          <w:szCs w:val="28"/>
          <w:highlight w:val="none"/>
        </w:rPr>
        <w:t>深圳市市场监督管理局根据初检</w:t>
      </w:r>
      <w:r>
        <w:rPr>
          <w:rFonts w:ascii="仿宋_GB2312" w:eastAsia="仿宋_GB2312" w:cs="Sim Sun"/>
          <w:iCs/>
          <w:color w:val="auto"/>
          <w:kern w:val="0"/>
          <w:sz w:val="28"/>
          <w:szCs w:val="28"/>
          <w:highlight w:val="none"/>
        </w:rPr>
        <w:t>、复</w:t>
      </w:r>
      <w:r>
        <w:rPr>
          <w:rFonts w:hint="eastAsia" w:ascii="仿宋_GB2312" w:eastAsia="仿宋_GB2312" w:cs="Sim Sun"/>
          <w:iCs/>
          <w:color w:val="auto"/>
          <w:kern w:val="0"/>
          <w:sz w:val="28"/>
          <w:szCs w:val="28"/>
          <w:highlight w:val="none"/>
        </w:rPr>
        <w:t>验</w:t>
      </w:r>
      <w:r>
        <w:rPr>
          <w:rFonts w:ascii="仿宋_GB2312" w:eastAsia="仿宋_GB2312" w:cs="Sim Sun"/>
          <w:iCs/>
          <w:color w:val="auto"/>
          <w:kern w:val="0"/>
          <w:sz w:val="28"/>
          <w:szCs w:val="28"/>
          <w:highlight w:val="none"/>
        </w:rPr>
        <w:t>结果及企业提交的</w:t>
      </w:r>
      <w:r>
        <w:rPr>
          <w:rFonts w:hint="eastAsia" w:ascii="仿宋_GB2312" w:eastAsia="仿宋_GB2312" w:cs="Sim Sun"/>
          <w:iCs/>
          <w:color w:val="auto"/>
          <w:kern w:val="0"/>
          <w:sz w:val="28"/>
          <w:szCs w:val="28"/>
          <w:highlight w:val="none"/>
        </w:rPr>
        <w:t>证明</w:t>
      </w:r>
      <w:r>
        <w:rPr>
          <w:rFonts w:ascii="仿宋_GB2312" w:eastAsia="仿宋_GB2312" w:cs="Sim Sun"/>
          <w:iCs/>
          <w:color w:val="auto"/>
          <w:kern w:val="0"/>
          <w:sz w:val="28"/>
          <w:szCs w:val="28"/>
          <w:highlight w:val="none"/>
        </w:rPr>
        <w:t>材料，做出复检结论</w:t>
      </w:r>
      <w:r>
        <w:rPr>
          <w:rFonts w:hint="eastAsia" w:ascii="仿宋_GB2312" w:eastAsia="仿宋_GB2312" w:cs="Sim Sun"/>
          <w:iCs/>
          <w:color w:val="auto"/>
          <w:kern w:val="0"/>
          <w:sz w:val="28"/>
          <w:szCs w:val="28"/>
          <w:highlight w:val="none"/>
        </w:rPr>
        <w:t>，</w:t>
      </w:r>
      <w:r>
        <w:rPr>
          <w:rFonts w:ascii="仿宋_GB2312" w:eastAsia="仿宋_GB2312" w:cs="Sim Sun"/>
          <w:iCs/>
          <w:color w:val="auto"/>
          <w:kern w:val="0"/>
          <w:sz w:val="28"/>
          <w:szCs w:val="28"/>
          <w:highlight w:val="none"/>
        </w:rPr>
        <w:t>复检结论为最终结论。</w:t>
      </w:r>
    </w:p>
    <w:p>
      <w:pPr>
        <w:snapToGrid w:val="0"/>
        <w:spacing w:line="360" w:lineRule="auto"/>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t>9</w:t>
      </w:r>
      <w:r>
        <w:rPr>
          <w:rFonts w:hint="eastAsia" w:ascii="仿宋_GB2312" w:hAnsi="宋体" w:eastAsia="仿宋_GB2312"/>
          <w:b/>
          <w:color w:val="auto"/>
          <w:sz w:val="28"/>
          <w:szCs w:val="28"/>
          <w:highlight w:val="none"/>
        </w:rPr>
        <w:t xml:space="preserve"> 附则</w:t>
      </w:r>
    </w:p>
    <w:p>
      <w:pPr>
        <w:snapToGrid w:val="0"/>
        <w:spacing w:line="360" w:lineRule="auto"/>
        <w:ind w:firstLine="537" w:firstLineChars="19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本规范编制单位：</w:t>
      </w:r>
      <w:r>
        <w:rPr>
          <w:rFonts w:hint="eastAsia" w:ascii="仿宋_GB2312" w:eastAsia="仿宋_GB2312"/>
          <w:color w:val="auto"/>
          <w:sz w:val="28"/>
          <w:szCs w:val="28"/>
          <w:highlight w:val="none"/>
        </w:rPr>
        <w:t>深圳市计量质量检测研究院</w:t>
      </w:r>
      <w:r>
        <w:rPr>
          <w:rFonts w:hint="eastAsia" w:ascii="仿宋_GB2312" w:hAnsi="宋体" w:eastAsia="仿宋_GB2312"/>
          <w:color w:val="auto"/>
          <w:sz w:val="28"/>
          <w:szCs w:val="28"/>
          <w:highlight w:val="none"/>
        </w:rPr>
        <w:t>。</w:t>
      </w:r>
    </w:p>
    <w:p>
      <w:pPr>
        <w:snapToGrid w:val="0"/>
        <w:spacing w:line="360" w:lineRule="auto"/>
        <w:ind w:firstLine="537" w:firstLineChars="192"/>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本规范由</w:t>
      </w:r>
      <w:r>
        <w:rPr>
          <w:rFonts w:hint="eastAsia" w:ascii="仿宋_GB2312" w:hAnsi="宋体" w:eastAsia="仿宋_GB2312"/>
          <w:iCs/>
          <w:color w:val="auto"/>
          <w:sz w:val="28"/>
          <w:szCs w:val="28"/>
          <w:highlight w:val="none"/>
        </w:rPr>
        <w:t>深圳市市场监督管理局质量处</w:t>
      </w:r>
      <w:r>
        <w:rPr>
          <w:rFonts w:hint="eastAsia" w:ascii="仿宋_GB2312" w:hAnsi="宋体" w:eastAsia="仿宋_GB2312"/>
          <w:color w:val="auto"/>
          <w:sz w:val="28"/>
          <w:szCs w:val="28"/>
          <w:highlight w:val="none"/>
        </w:rPr>
        <w:t>管理。</w:t>
      </w:r>
    </w:p>
    <w:tbl>
      <w:tblPr>
        <w:tblStyle w:val="14"/>
        <w:tblW w:w="10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5"/>
        <w:gridCol w:w="2235"/>
        <w:gridCol w:w="226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2"/>
                <w:szCs w:val="21"/>
                <w:highlight w:val="none"/>
              </w:rPr>
            </w:pPr>
            <w:r>
              <w:rPr>
                <w:rFonts w:hint="eastAsia" w:ascii="仿宋_GB2312" w:hAnsi="宋体" w:eastAsia="仿宋_GB2312"/>
                <w:color w:val="auto"/>
                <w:sz w:val="22"/>
                <w:szCs w:val="21"/>
                <w:highlight w:val="none"/>
              </w:rPr>
              <w:t>检测事业部拟稿人</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2"/>
                <w:szCs w:val="21"/>
                <w:highlight w:val="none"/>
              </w:rPr>
            </w:pPr>
            <w:r>
              <w:rPr>
                <w:rFonts w:hint="eastAsia" w:ascii="仿宋_GB2312" w:hAnsi="宋体" w:eastAsia="仿宋_GB2312"/>
                <w:color w:val="auto"/>
                <w:sz w:val="22"/>
                <w:szCs w:val="21"/>
                <w:highlight w:val="none"/>
              </w:rPr>
              <w:t>检测事业部审核人</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2"/>
                <w:szCs w:val="21"/>
                <w:highlight w:val="none"/>
              </w:rPr>
            </w:pPr>
            <w:r>
              <w:rPr>
                <w:rFonts w:hint="eastAsia" w:ascii="仿宋_GB2312" w:hAnsi="宋体" w:eastAsia="仿宋_GB2312"/>
                <w:color w:val="auto"/>
                <w:sz w:val="22"/>
                <w:szCs w:val="21"/>
                <w:highlight w:val="none"/>
              </w:rPr>
              <w:t>业务发展中心核稿人</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2"/>
                <w:szCs w:val="21"/>
                <w:highlight w:val="none"/>
              </w:rPr>
            </w:pPr>
            <w:r>
              <w:rPr>
                <w:rFonts w:hint="eastAsia" w:ascii="仿宋_GB2312" w:hAnsi="宋体" w:eastAsia="仿宋_GB2312"/>
                <w:color w:val="auto"/>
                <w:sz w:val="22"/>
                <w:szCs w:val="21"/>
                <w:highlight w:val="none"/>
              </w:rPr>
              <w:t>业务发展中心审核人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2"/>
                <w:szCs w:val="21"/>
                <w:highlight w:val="none"/>
              </w:rPr>
            </w:pPr>
            <w:r>
              <w:rPr>
                <w:rFonts w:hint="eastAsia" w:ascii="仿宋_GB2312" w:hAnsi="宋体" w:eastAsia="仿宋_GB2312"/>
                <w:color w:val="auto"/>
                <w:sz w:val="22"/>
                <w:szCs w:val="21"/>
                <w:highlight w:val="none"/>
              </w:rPr>
              <w:t>检测院领导批准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209"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bCs/>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bCs/>
                <w:color w:val="auto"/>
                <w:highlight w:val="none"/>
              </w:rPr>
            </w:pPr>
          </w:p>
        </w:tc>
        <w:tc>
          <w:tcPr>
            <w:tcW w:w="223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bCs/>
                <w:color w:val="auto"/>
                <w:highlight w:val="none"/>
              </w:rPr>
            </w:pPr>
          </w:p>
        </w:tc>
        <w:tc>
          <w:tcPr>
            <w:tcW w:w="226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bCs/>
                <w:color w:val="auto"/>
                <w:highlight w:val="none"/>
              </w:rPr>
            </w:pPr>
          </w:p>
        </w:tc>
        <w:tc>
          <w:tcPr>
            <w:tcW w:w="1984"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bCs/>
                <w:color w:val="auto"/>
                <w:highlight w:val="none"/>
              </w:rPr>
            </w:pPr>
          </w:p>
        </w:tc>
      </w:tr>
    </w:tbl>
    <w:p>
      <w:pPr>
        <w:widowControl/>
        <w:jc w:val="left"/>
        <w:rPr>
          <w:rFonts w:ascii="黑体" w:hAnsi="宋体" w:eastAsia="黑体" w:cs="Times New Roman"/>
          <w:color w:val="auto"/>
          <w:sz w:val="32"/>
          <w:szCs w:val="32"/>
          <w:highlight w:val="none"/>
        </w:rPr>
      </w:pPr>
    </w:p>
    <w:p>
      <w:pPr>
        <w:widowControl/>
        <w:jc w:val="left"/>
        <w:rPr>
          <w:rFonts w:ascii="黑体" w:hAnsi="宋体" w:eastAsia="黑体" w:cs="Times New Roman"/>
          <w:color w:val="auto"/>
          <w:sz w:val="32"/>
          <w:szCs w:val="32"/>
          <w:highlight w:val="none"/>
        </w:rPr>
      </w:pPr>
    </w:p>
    <w:p>
      <w:pPr>
        <w:rPr>
          <w:color w:val="auto"/>
          <w:highlight w:val="none"/>
        </w:rPr>
      </w:pPr>
    </w:p>
    <w:sectPr>
      <w:headerReference r:id="rId4" w:type="first"/>
      <w:headerReference r:id="rId3" w:type="default"/>
      <w:footerReference r:id="rId5" w:type="default"/>
      <w:pgSz w:w="11906" w:h="16838"/>
      <w:pgMar w:top="1587" w:right="1417" w:bottom="1587" w:left="147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2D"/>
    <w:rsid w:val="0000113D"/>
    <w:rsid w:val="00006671"/>
    <w:rsid w:val="00045AEC"/>
    <w:rsid w:val="00081B9C"/>
    <w:rsid w:val="000B070D"/>
    <w:rsid w:val="000C351E"/>
    <w:rsid w:val="000D3668"/>
    <w:rsid w:val="001168D3"/>
    <w:rsid w:val="001331CD"/>
    <w:rsid w:val="00143750"/>
    <w:rsid w:val="00156112"/>
    <w:rsid w:val="001664AD"/>
    <w:rsid w:val="001A7241"/>
    <w:rsid w:val="001B1B68"/>
    <w:rsid w:val="002018A6"/>
    <w:rsid w:val="002443A5"/>
    <w:rsid w:val="002445BF"/>
    <w:rsid w:val="00245EBE"/>
    <w:rsid w:val="00266F51"/>
    <w:rsid w:val="00267E0A"/>
    <w:rsid w:val="00273055"/>
    <w:rsid w:val="0028178E"/>
    <w:rsid w:val="00296AD5"/>
    <w:rsid w:val="002E57CC"/>
    <w:rsid w:val="002F5BF3"/>
    <w:rsid w:val="00304850"/>
    <w:rsid w:val="003110CC"/>
    <w:rsid w:val="00327A52"/>
    <w:rsid w:val="00327DF7"/>
    <w:rsid w:val="003575D8"/>
    <w:rsid w:val="003725E7"/>
    <w:rsid w:val="00386149"/>
    <w:rsid w:val="00393289"/>
    <w:rsid w:val="00395B10"/>
    <w:rsid w:val="003A5241"/>
    <w:rsid w:val="004124AB"/>
    <w:rsid w:val="004144CB"/>
    <w:rsid w:val="00437189"/>
    <w:rsid w:val="00440B3B"/>
    <w:rsid w:val="00442803"/>
    <w:rsid w:val="0045088B"/>
    <w:rsid w:val="00451A9C"/>
    <w:rsid w:val="00451F77"/>
    <w:rsid w:val="00455F50"/>
    <w:rsid w:val="00457393"/>
    <w:rsid w:val="004864E2"/>
    <w:rsid w:val="0049380F"/>
    <w:rsid w:val="004C0FFE"/>
    <w:rsid w:val="004C1334"/>
    <w:rsid w:val="004C78A6"/>
    <w:rsid w:val="004E3560"/>
    <w:rsid w:val="004E7D91"/>
    <w:rsid w:val="00524F44"/>
    <w:rsid w:val="00544889"/>
    <w:rsid w:val="00544B94"/>
    <w:rsid w:val="00545A12"/>
    <w:rsid w:val="00550CE0"/>
    <w:rsid w:val="00552290"/>
    <w:rsid w:val="00572681"/>
    <w:rsid w:val="005B31B5"/>
    <w:rsid w:val="005B76E4"/>
    <w:rsid w:val="005D4455"/>
    <w:rsid w:val="005D54BD"/>
    <w:rsid w:val="005E70D7"/>
    <w:rsid w:val="00606A8F"/>
    <w:rsid w:val="0061630F"/>
    <w:rsid w:val="006277C4"/>
    <w:rsid w:val="00643A1E"/>
    <w:rsid w:val="00645BA9"/>
    <w:rsid w:val="0064613E"/>
    <w:rsid w:val="006472F9"/>
    <w:rsid w:val="0064797C"/>
    <w:rsid w:val="006575FA"/>
    <w:rsid w:val="0066319E"/>
    <w:rsid w:val="0066561D"/>
    <w:rsid w:val="00676815"/>
    <w:rsid w:val="00676CD3"/>
    <w:rsid w:val="00694207"/>
    <w:rsid w:val="006A0B43"/>
    <w:rsid w:val="006C3325"/>
    <w:rsid w:val="006C55DF"/>
    <w:rsid w:val="006D1CE5"/>
    <w:rsid w:val="006E4123"/>
    <w:rsid w:val="006E5CEA"/>
    <w:rsid w:val="00752243"/>
    <w:rsid w:val="00757BD9"/>
    <w:rsid w:val="0076203D"/>
    <w:rsid w:val="007645D8"/>
    <w:rsid w:val="00771C24"/>
    <w:rsid w:val="00776E2E"/>
    <w:rsid w:val="007943F7"/>
    <w:rsid w:val="007A366D"/>
    <w:rsid w:val="007C0F87"/>
    <w:rsid w:val="007D1F4D"/>
    <w:rsid w:val="007D319E"/>
    <w:rsid w:val="007E461B"/>
    <w:rsid w:val="007E56BB"/>
    <w:rsid w:val="007F1E64"/>
    <w:rsid w:val="008050A4"/>
    <w:rsid w:val="00814CAA"/>
    <w:rsid w:val="00842D30"/>
    <w:rsid w:val="00845C8F"/>
    <w:rsid w:val="008502F5"/>
    <w:rsid w:val="00864A08"/>
    <w:rsid w:val="00866E1E"/>
    <w:rsid w:val="0087352D"/>
    <w:rsid w:val="00886BC3"/>
    <w:rsid w:val="0089623D"/>
    <w:rsid w:val="00904E14"/>
    <w:rsid w:val="00917DB8"/>
    <w:rsid w:val="00934400"/>
    <w:rsid w:val="0095429D"/>
    <w:rsid w:val="00976088"/>
    <w:rsid w:val="00976240"/>
    <w:rsid w:val="00982B9F"/>
    <w:rsid w:val="009961FA"/>
    <w:rsid w:val="009C09F5"/>
    <w:rsid w:val="009E73B0"/>
    <w:rsid w:val="00A03849"/>
    <w:rsid w:val="00A04793"/>
    <w:rsid w:val="00A1166B"/>
    <w:rsid w:val="00A13092"/>
    <w:rsid w:val="00A17997"/>
    <w:rsid w:val="00A56017"/>
    <w:rsid w:val="00A679C5"/>
    <w:rsid w:val="00A93AEE"/>
    <w:rsid w:val="00AA2557"/>
    <w:rsid w:val="00AB00BE"/>
    <w:rsid w:val="00AC2428"/>
    <w:rsid w:val="00AD41D2"/>
    <w:rsid w:val="00AE6A3C"/>
    <w:rsid w:val="00B14693"/>
    <w:rsid w:val="00B47E10"/>
    <w:rsid w:val="00B6017A"/>
    <w:rsid w:val="00B8265E"/>
    <w:rsid w:val="00B82839"/>
    <w:rsid w:val="00B96E12"/>
    <w:rsid w:val="00BA0657"/>
    <w:rsid w:val="00BA1F94"/>
    <w:rsid w:val="00BB6343"/>
    <w:rsid w:val="00BE5675"/>
    <w:rsid w:val="00BF5B69"/>
    <w:rsid w:val="00C16673"/>
    <w:rsid w:val="00C30CFA"/>
    <w:rsid w:val="00C32B43"/>
    <w:rsid w:val="00C5760C"/>
    <w:rsid w:val="00C91CE2"/>
    <w:rsid w:val="00C92BAF"/>
    <w:rsid w:val="00CC027E"/>
    <w:rsid w:val="00CD4166"/>
    <w:rsid w:val="00CD7743"/>
    <w:rsid w:val="00CF46C3"/>
    <w:rsid w:val="00CF4D8B"/>
    <w:rsid w:val="00D0449B"/>
    <w:rsid w:val="00D06D7B"/>
    <w:rsid w:val="00D070AA"/>
    <w:rsid w:val="00D11D76"/>
    <w:rsid w:val="00D155FC"/>
    <w:rsid w:val="00D22FF1"/>
    <w:rsid w:val="00D32A3E"/>
    <w:rsid w:val="00D43CD3"/>
    <w:rsid w:val="00D4672B"/>
    <w:rsid w:val="00D512CD"/>
    <w:rsid w:val="00D54DD1"/>
    <w:rsid w:val="00D55E73"/>
    <w:rsid w:val="00DA2899"/>
    <w:rsid w:val="00DB4770"/>
    <w:rsid w:val="00DC1E0B"/>
    <w:rsid w:val="00DC4635"/>
    <w:rsid w:val="00DD1CDC"/>
    <w:rsid w:val="00DD2244"/>
    <w:rsid w:val="00DE6471"/>
    <w:rsid w:val="00E111A4"/>
    <w:rsid w:val="00E1644C"/>
    <w:rsid w:val="00E45A9C"/>
    <w:rsid w:val="00E766E9"/>
    <w:rsid w:val="00E84505"/>
    <w:rsid w:val="00E97852"/>
    <w:rsid w:val="00EB0A44"/>
    <w:rsid w:val="00EB22D7"/>
    <w:rsid w:val="00EC5B61"/>
    <w:rsid w:val="00ED398A"/>
    <w:rsid w:val="00F03FA6"/>
    <w:rsid w:val="00F077AE"/>
    <w:rsid w:val="00F12CEE"/>
    <w:rsid w:val="00F156BD"/>
    <w:rsid w:val="00F22A03"/>
    <w:rsid w:val="00F2627D"/>
    <w:rsid w:val="00F336D3"/>
    <w:rsid w:val="00F35B1E"/>
    <w:rsid w:val="00F36BB0"/>
    <w:rsid w:val="00F4112B"/>
    <w:rsid w:val="00F41F03"/>
    <w:rsid w:val="00F4546E"/>
    <w:rsid w:val="00F56B0F"/>
    <w:rsid w:val="00F57EE1"/>
    <w:rsid w:val="00F86953"/>
    <w:rsid w:val="00FE73FE"/>
    <w:rsid w:val="017A599A"/>
    <w:rsid w:val="01D9395B"/>
    <w:rsid w:val="02164C70"/>
    <w:rsid w:val="02876C50"/>
    <w:rsid w:val="04C84D70"/>
    <w:rsid w:val="058B6538"/>
    <w:rsid w:val="079D0261"/>
    <w:rsid w:val="0AA06396"/>
    <w:rsid w:val="0B26622F"/>
    <w:rsid w:val="0CD800A2"/>
    <w:rsid w:val="0CE70C24"/>
    <w:rsid w:val="0E3706E9"/>
    <w:rsid w:val="103D0E51"/>
    <w:rsid w:val="1178281A"/>
    <w:rsid w:val="127D0BD0"/>
    <w:rsid w:val="133A281B"/>
    <w:rsid w:val="185C7A6D"/>
    <w:rsid w:val="1B6D7AD9"/>
    <w:rsid w:val="1C675ACC"/>
    <w:rsid w:val="1EDC1CDB"/>
    <w:rsid w:val="1FEDC7EF"/>
    <w:rsid w:val="22D82966"/>
    <w:rsid w:val="2435749E"/>
    <w:rsid w:val="2454424D"/>
    <w:rsid w:val="24847280"/>
    <w:rsid w:val="24AC58BE"/>
    <w:rsid w:val="252D7AAE"/>
    <w:rsid w:val="2A250DAB"/>
    <w:rsid w:val="2B240D9E"/>
    <w:rsid w:val="324E2EE4"/>
    <w:rsid w:val="334847E9"/>
    <w:rsid w:val="37DD4502"/>
    <w:rsid w:val="38C7203C"/>
    <w:rsid w:val="394F4A4A"/>
    <w:rsid w:val="3A0E0A10"/>
    <w:rsid w:val="3B1237A8"/>
    <w:rsid w:val="3C8E5AA3"/>
    <w:rsid w:val="3D1914D8"/>
    <w:rsid w:val="3D436065"/>
    <w:rsid w:val="405D57C1"/>
    <w:rsid w:val="42BD6C3C"/>
    <w:rsid w:val="44236FD1"/>
    <w:rsid w:val="44913FA3"/>
    <w:rsid w:val="45926C4A"/>
    <w:rsid w:val="49E26946"/>
    <w:rsid w:val="4B201708"/>
    <w:rsid w:val="4D700025"/>
    <w:rsid w:val="547001A2"/>
    <w:rsid w:val="54B623A4"/>
    <w:rsid w:val="57531755"/>
    <w:rsid w:val="5B6A2144"/>
    <w:rsid w:val="5BDC3235"/>
    <w:rsid w:val="5E653318"/>
    <w:rsid w:val="5EEE93F3"/>
    <w:rsid w:val="605F4D71"/>
    <w:rsid w:val="6169632B"/>
    <w:rsid w:val="61A7014E"/>
    <w:rsid w:val="62064D04"/>
    <w:rsid w:val="64B47A7A"/>
    <w:rsid w:val="6536291E"/>
    <w:rsid w:val="65DE9895"/>
    <w:rsid w:val="6610529F"/>
    <w:rsid w:val="684A6BC8"/>
    <w:rsid w:val="68C95677"/>
    <w:rsid w:val="691D6052"/>
    <w:rsid w:val="6DA50EA7"/>
    <w:rsid w:val="6E301340"/>
    <w:rsid w:val="6FB13855"/>
    <w:rsid w:val="702161AD"/>
    <w:rsid w:val="70C02639"/>
    <w:rsid w:val="71052AEE"/>
    <w:rsid w:val="729670ED"/>
    <w:rsid w:val="72C54842"/>
    <w:rsid w:val="76D020CD"/>
    <w:rsid w:val="778162CE"/>
    <w:rsid w:val="796B4E94"/>
    <w:rsid w:val="7EFC6DCE"/>
    <w:rsid w:val="7F7DADBF"/>
    <w:rsid w:val="7FBEF94E"/>
    <w:rsid w:val="8FDE79F4"/>
    <w:rsid w:val="A379420A"/>
    <w:rsid w:val="B9D6DF98"/>
    <w:rsid w:val="BBE9DD4F"/>
    <w:rsid w:val="BDF7937F"/>
    <w:rsid w:val="BFFFBC88"/>
    <w:rsid w:val="D3F1B0D1"/>
    <w:rsid w:val="E3D56E7C"/>
    <w:rsid w:val="ED5D786B"/>
    <w:rsid w:val="FCDCBE59"/>
    <w:rsid w:val="FF5F3D17"/>
    <w:rsid w:val="FFAF8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34"/>
    <w:qFormat/>
    <w:uiPriority w:val="0"/>
    <w:pPr>
      <w:jc w:val="left"/>
    </w:pPr>
    <w:rPr>
      <w:rFonts w:ascii="Times New Roman" w:hAnsi="Times New Roman" w:eastAsia="宋体" w:cs="Times New Roman"/>
      <w:szCs w:val="24"/>
    </w:rPr>
  </w:style>
  <w:style w:type="paragraph" w:styleId="4">
    <w:name w:val="Body Text Indent"/>
    <w:basedOn w:val="1"/>
    <w:link w:val="28"/>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31"/>
    <w:qFormat/>
    <w:uiPriority w:val="0"/>
    <w:rPr>
      <w:rFonts w:ascii="宋体" w:hAnsi="Courier New" w:eastAsia="宋体" w:cs="Times New Roman"/>
      <w:szCs w:val="21"/>
    </w:rPr>
  </w:style>
  <w:style w:type="paragraph" w:styleId="6">
    <w:name w:val="Date"/>
    <w:basedOn w:val="1"/>
    <w:next w:val="1"/>
    <w:link w:val="40"/>
    <w:unhideWhenUsed/>
    <w:qFormat/>
    <w:uiPriority w:val="99"/>
    <w:pPr>
      <w:ind w:left="100" w:leftChars="2500"/>
    </w:pPr>
  </w:style>
  <w:style w:type="paragraph" w:styleId="7">
    <w:name w:val="Body Text Indent 2"/>
    <w:basedOn w:val="1"/>
    <w:link w:val="32"/>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9"/>
    <w:semiHidden/>
    <w:qFormat/>
    <w:uiPriority w:val="0"/>
    <w:rPr>
      <w:rFonts w:ascii="Times New Roman" w:hAnsi="Times New Roman" w:eastAsia="宋体" w:cs="Times New Roman"/>
      <w:sz w:val="18"/>
      <w:szCs w:val="18"/>
    </w:rPr>
  </w:style>
  <w:style w:type="paragraph" w:styleId="9">
    <w:name w:val="footer"/>
    <w:basedOn w:val="1"/>
    <w:link w:val="2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6"/>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3"/>
    <w:next w:val="3"/>
    <w:link w:val="39"/>
    <w:unhideWhenUsed/>
    <w:qFormat/>
    <w:uiPriority w:val="99"/>
    <w:rPr>
      <w:rFonts w:asciiTheme="minorHAnsi" w:hAnsiTheme="minorHAnsi" w:eastAsiaTheme="minorEastAsia" w:cstheme="minorBidi"/>
      <w:b/>
      <w:bCs/>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Emphasis"/>
    <w:basedOn w:val="16"/>
    <w:qFormat/>
    <w:uiPriority w:val="20"/>
  </w:style>
  <w:style w:type="character" w:styleId="20">
    <w:name w:val="HTML Definition"/>
    <w:basedOn w:val="16"/>
    <w:semiHidden/>
    <w:unhideWhenUsed/>
    <w:qFormat/>
    <w:uiPriority w:val="99"/>
    <w:rPr>
      <w:bdr w:val="single" w:color="1B376C" w:sz="4" w:space="0"/>
      <w:shd w:val="clear" w:fill="FFFFFF"/>
    </w:rPr>
  </w:style>
  <w:style w:type="character" w:styleId="21">
    <w:name w:val="HTML Variable"/>
    <w:basedOn w:val="16"/>
    <w:semiHidden/>
    <w:unhideWhenUsed/>
    <w:qFormat/>
    <w:uiPriority w:val="99"/>
  </w:style>
  <w:style w:type="character" w:styleId="22">
    <w:name w:val="HTML Code"/>
    <w:basedOn w:val="16"/>
    <w:semiHidden/>
    <w:unhideWhenUsed/>
    <w:qFormat/>
    <w:uiPriority w:val="99"/>
    <w:rPr>
      <w:rFonts w:ascii="Tahoma" w:hAnsi="Tahoma" w:eastAsia="Tahoma" w:cs="Tahoma"/>
      <w:sz w:val="14"/>
      <w:szCs w:val="14"/>
      <w:bdr w:val="single" w:color="FFFFFF" w:sz="4" w:space="0"/>
    </w:rPr>
  </w:style>
  <w:style w:type="character" w:styleId="23">
    <w:name w:val="annotation reference"/>
    <w:basedOn w:val="16"/>
    <w:qFormat/>
    <w:uiPriority w:val="0"/>
    <w:rPr>
      <w:sz w:val="21"/>
      <w:szCs w:val="21"/>
    </w:rPr>
  </w:style>
  <w:style w:type="character" w:styleId="24">
    <w:name w:val="HTML Cite"/>
    <w:basedOn w:val="16"/>
    <w:semiHidden/>
    <w:unhideWhenUsed/>
    <w:qFormat/>
    <w:uiPriority w:val="99"/>
  </w:style>
  <w:style w:type="character" w:customStyle="1" w:styleId="25">
    <w:name w:val="页脚 Char"/>
    <w:basedOn w:val="16"/>
    <w:link w:val="9"/>
    <w:qFormat/>
    <w:uiPriority w:val="0"/>
    <w:rPr>
      <w:rFonts w:ascii="Times New Roman" w:hAnsi="Times New Roman" w:eastAsia="宋体" w:cs="Times New Roman"/>
      <w:sz w:val="18"/>
      <w:szCs w:val="18"/>
    </w:rPr>
  </w:style>
  <w:style w:type="character" w:customStyle="1" w:styleId="26">
    <w:name w:val="页眉 Char"/>
    <w:basedOn w:val="16"/>
    <w:link w:val="10"/>
    <w:qFormat/>
    <w:uiPriority w:val="99"/>
    <w:rPr>
      <w:rFonts w:cs="Times New Roman" w:asciiTheme="majorEastAsia" w:hAnsiTheme="majorEastAsia" w:eastAsiaTheme="majorEastAsia"/>
      <w:b/>
      <w:szCs w:val="21"/>
    </w:rPr>
  </w:style>
  <w:style w:type="paragraph" w:customStyle="1" w:styleId="27">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8">
    <w:name w:val="正文文本缩进 Char"/>
    <w:basedOn w:val="16"/>
    <w:link w:val="4"/>
    <w:qFormat/>
    <w:uiPriority w:val="0"/>
    <w:rPr>
      <w:rFonts w:ascii="Times New Roman" w:hAnsi="Times New Roman" w:eastAsia="宋体" w:cs="Times New Roman"/>
      <w:kern w:val="0"/>
      <w:sz w:val="24"/>
      <w:szCs w:val="20"/>
    </w:rPr>
  </w:style>
  <w:style w:type="character" w:customStyle="1" w:styleId="29">
    <w:name w:val="批注框文本 Char"/>
    <w:basedOn w:val="16"/>
    <w:link w:val="8"/>
    <w:semiHidden/>
    <w:qFormat/>
    <w:uiPriority w:val="0"/>
    <w:rPr>
      <w:rFonts w:ascii="Times New Roman" w:hAnsi="Times New Roman" w:eastAsia="宋体" w:cs="Times New Roman"/>
      <w:sz w:val="18"/>
      <w:szCs w:val="18"/>
    </w:rPr>
  </w:style>
  <w:style w:type="paragraph" w:customStyle="1" w:styleId="30">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31">
    <w:name w:val="纯文本 Char"/>
    <w:basedOn w:val="16"/>
    <w:link w:val="5"/>
    <w:qFormat/>
    <w:uiPriority w:val="0"/>
    <w:rPr>
      <w:rFonts w:ascii="宋体" w:hAnsi="Courier New" w:eastAsia="宋体" w:cs="Times New Roman"/>
      <w:szCs w:val="21"/>
    </w:rPr>
  </w:style>
  <w:style w:type="character" w:customStyle="1" w:styleId="32">
    <w:name w:val="正文文本缩进 2 Char"/>
    <w:basedOn w:val="16"/>
    <w:link w:val="7"/>
    <w:qFormat/>
    <w:uiPriority w:val="0"/>
    <w:rPr>
      <w:rFonts w:ascii="Times New Roman" w:hAnsi="Times New Roman" w:eastAsia="宋体" w:cs="Times New Roman"/>
      <w:szCs w:val="24"/>
    </w:rPr>
  </w:style>
  <w:style w:type="character" w:customStyle="1" w:styleId="33">
    <w:name w:val="正文文本缩进 3 Char"/>
    <w:basedOn w:val="16"/>
    <w:link w:val="11"/>
    <w:qFormat/>
    <w:uiPriority w:val="0"/>
    <w:rPr>
      <w:rFonts w:ascii="Times New Roman" w:hAnsi="Times New Roman" w:eastAsia="宋体" w:cs="Times New Roman"/>
      <w:sz w:val="16"/>
      <w:szCs w:val="16"/>
    </w:rPr>
  </w:style>
  <w:style w:type="character" w:customStyle="1" w:styleId="34">
    <w:name w:val="批注文字 Char"/>
    <w:basedOn w:val="16"/>
    <w:link w:val="3"/>
    <w:qFormat/>
    <w:uiPriority w:val="0"/>
    <w:rPr>
      <w:rFonts w:ascii="Times New Roman" w:hAnsi="Times New Roman" w:eastAsia="宋体" w:cs="Times New Roman"/>
      <w:szCs w:val="24"/>
    </w:rPr>
  </w:style>
  <w:style w:type="paragraph" w:customStyle="1" w:styleId="35">
    <w:name w:val="表格"/>
    <w:basedOn w:val="1"/>
    <w:link w:val="36"/>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6">
    <w:name w:val="表格 Char"/>
    <w:link w:val="35"/>
    <w:qFormat/>
    <w:uiPriority w:val="0"/>
    <w:rPr>
      <w:rFonts w:ascii="仿宋_GB2312" w:hAnsi="Times New Roman" w:eastAsia="宋体" w:cs="Times New Roman"/>
      <w:color w:val="000000"/>
      <w:kern w:val="0"/>
      <w:szCs w:val="24"/>
    </w:rPr>
  </w:style>
  <w:style w:type="paragraph" w:customStyle="1" w:styleId="37">
    <w:name w:val="列表段落1"/>
    <w:basedOn w:val="1"/>
    <w:qFormat/>
    <w:uiPriority w:val="34"/>
    <w:pPr>
      <w:ind w:firstLine="420" w:firstLineChars="200"/>
    </w:pPr>
    <w:rPr>
      <w:rFonts w:ascii="Times New Roman" w:hAnsi="Times New Roman" w:eastAsia="宋体" w:cs="Times New Roman"/>
      <w:szCs w:val="24"/>
    </w:rPr>
  </w:style>
  <w:style w:type="paragraph" w:customStyle="1" w:styleId="38">
    <w:name w:val="p0"/>
    <w:basedOn w:val="1"/>
    <w:qFormat/>
    <w:uiPriority w:val="0"/>
    <w:pPr>
      <w:widowControl/>
    </w:pPr>
    <w:rPr>
      <w:rFonts w:ascii="Times New Roman" w:hAnsi="Times New Roman" w:eastAsia="宋体" w:cs="Times New Roman"/>
      <w:kern w:val="0"/>
      <w:szCs w:val="21"/>
    </w:rPr>
  </w:style>
  <w:style w:type="character" w:customStyle="1" w:styleId="39">
    <w:name w:val="批注主题 Char"/>
    <w:basedOn w:val="34"/>
    <w:link w:val="13"/>
    <w:semiHidden/>
    <w:qFormat/>
    <w:uiPriority w:val="99"/>
    <w:rPr>
      <w:rFonts w:ascii="Times New Roman" w:hAnsi="Times New Roman" w:eastAsia="宋体" w:cs="Times New Roman"/>
      <w:b/>
      <w:bCs/>
      <w:szCs w:val="24"/>
    </w:rPr>
  </w:style>
  <w:style w:type="character" w:customStyle="1" w:styleId="40">
    <w:name w:val="日期 Char"/>
    <w:basedOn w:val="16"/>
    <w:link w:val="6"/>
    <w:semiHidden/>
    <w:qFormat/>
    <w:uiPriority w:val="99"/>
  </w:style>
  <w:style w:type="paragraph" w:styleId="41">
    <w:name w:val="List Paragraph"/>
    <w:basedOn w:val="1"/>
    <w:unhideWhenUsed/>
    <w:qFormat/>
    <w:uiPriority w:val="99"/>
    <w:pPr>
      <w:ind w:firstLine="420" w:firstLineChars="200"/>
    </w:pPr>
  </w:style>
  <w:style w:type="character" w:customStyle="1" w:styleId="42">
    <w:name w:val="l-tab-strip-text"/>
    <w:basedOn w:val="16"/>
    <w:qFormat/>
    <w:uiPriority w:val="0"/>
  </w:style>
  <w:style w:type="character" w:customStyle="1" w:styleId="43">
    <w:name w:val="l-tab-strip-text1"/>
    <w:basedOn w:val="16"/>
    <w:qFormat/>
    <w:uiPriority w:val="0"/>
    <w:rPr>
      <w:color w:val="15428B"/>
    </w:rPr>
  </w:style>
  <w:style w:type="character" w:customStyle="1" w:styleId="44">
    <w:name w:val="l-tab-strip-text2"/>
    <w:basedOn w:val="16"/>
    <w:qFormat/>
    <w:uiPriority w:val="0"/>
    <w:rPr>
      <w:rFonts w:hint="default" w:ascii="Tahoma" w:hAnsi="Tahoma" w:eastAsia="Tahoma" w:cs="Tahoma"/>
      <w:color w:val="416AA3"/>
      <w:sz w:val="14"/>
      <w:szCs w:val="14"/>
    </w:rPr>
  </w:style>
  <w:style w:type="character" w:customStyle="1" w:styleId="45">
    <w:name w:val="l-tab-strip-text3"/>
    <w:basedOn w:val="16"/>
    <w:qFormat/>
    <w:uiPriority w:val="0"/>
  </w:style>
  <w:style w:type="character" w:customStyle="1" w:styleId="46">
    <w:name w:val="l-tab-strip-text4"/>
    <w:basedOn w:val="16"/>
    <w:qFormat/>
    <w:uiPriority w:val="0"/>
  </w:style>
  <w:style w:type="character" w:customStyle="1" w:styleId="47">
    <w:name w:val="l-tab-strip-text5"/>
    <w:basedOn w:val="16"/>
    <w:qFormat/>
    <w:uiPriority w:val="0"/>
    <w:rPr>
      <w:b/>
      <w:color w:val="15428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SMQ</Company>
  <Pages>21</Pages>
  <Words>1401</Words>
  <Characters>7991</Characters>
  <Lines>66</Lines>
  <Paragraphs>18</Paragraphs>
  <TotalTime>5</TotalTime>
  <ScaleCrop>false</ScaleCrop>
  <LinksUpToDate>false</LinksUpToDate>
  <CharactersWithSpaces>9374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2019-01-13T06:21:00Z</dcterms:created>
  <dc:creator>张嘉欢</dc:creator>
  <cp:lastModifiedBy>常孟园</cp:lastModifiedBy>
  <dcterms:modified xsi:type="dcterms:W3CDTF">2020-02-17T08:51:55Z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