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4" w:beforeLines="75" w:line="360" w:lineRule="auto"/>
        <w:jc w:val="left"/>
        <w:rPr>
          <w:rFonts w:ascii="黑体" w:hAnsi="黑体" w:eastAsia="黑体"/>
          <w:sz w:val="32"/>
          <w:szCs w:val="32"/>
        </w:rPr>
      </w:pPr>
      <w:r>
        <w:rPr>
          <w:rFonts w:hint="eastAsia" w:ascii="黑体" w:hAnsi="黑体" w:eastAsia="黑体"/>
          <w:sz w:val="32"/>
          <w:szCs w:val="32"/>
        </w:rPr>
        <w:t>附件1</w:t>
      </w:r>
    </w:p>
    <w:p>
      <w:pPr>
        <w:spacing w:before="234" w:beforeLines="75"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before="234" w:beforeLines="75" w:line="360" w:lineRule="auto"/>
        <w:jc w:val="center"/>
        <w:rPr>
          <w:rFonts w:ascii="黑体" w:hAnsi="黑体" w:eastAsia="黑体"/>
          <w:sz w:val="36"/>
          <w:szCs w:val="36"/>
        </w:rPr>
      </w:pPr>
      <w:r>
        <w:rPr>
          <w:rFonts w:hint="eastAsia" w:ascii="黑体" w:hAnsi="黑体" w:eastAsia="黑体"/>
          <w:sz w:val="36"/>
          <w:szCs w:val="36"/>
        </w:rPr>
        <w:t>中小学学生服产品质量监督抽查实施规范</w:t>
      </w:r>
    </w:p>
    <w:p>
      <w:pPr>
        <w:spacing w:before="234" w:beforeLines="75" w:line="360" w:lineRule="auto"/>
        <w:jc w:val="center"/>
        <w:rPr>
          <w:rFonts w:ascii="黑体" w:hAnsi="黑体" w:eastAsia="黑体"/>
          <w:sz w:val="28"/>
        </w:rPr>
      </w:pPr>
      <w:r>
        <w:rPr>
          <w:rFonts w:hint="eastAsia" w:ascii="黑体" w:hAnsi="黑体" w:eastAsia="黑体"/>
          <w:sz w:val="28"/>
        </w:rPr>
        <w:t>编号</w:t>
      </w:r>
      <w:r>
        <w:rPr>
          <w:rFonts w:ascii="黑体" w:hAnsi="黑体" w:eastAsia="黑体"/>
          <w:sz w:val="28"/>
        </w:rPr>
        <w:t>：CCGF-SZ-</w:t>
      </w:r>
      <w:r>
        <w:rPr>
          <w:rFonts w:hint="eastAsia" w:ascii="黑体" w:hAnsi="黑体" w:eastAsia="黑体"/>
          <w:sz w:val="28"/>
        </w:rPr>
        <w:t>102</w:t>
      </w:r>
      <w:r>
        <w:rPr>
          <w:rFonts w:ascii="黑体" w:hAnsi="黑体" w:eastAsia="黑体"/>
          <w:sz w:val="28"/>
        </w:rPr>
        <w:t>-</w:t>
      </w:r>
      <w:r>
        <w:rPr>
          <w:rFonts w:hint="eastAsia" w:ascii="黑体" w:hAnsi="黑体" w:eastAsia="黑体"/>
          <w:sz w:val="28"/>
        </w:rPr>
        <w:t>2020</w:t>
      </w:r>
    </w:p>
    <w:p>
      <w:pPr>
        <w:snapToGrid w:val="0"/>
        <w:spacing w:line="360" w:lineRule="auto"/>
        <w:rPr>
          <w:rFonts w:ascii="仿宋_GB2312" w:hAnsi="宋体" w:eastAsia="仿宋_GB2312"/>
          <w:b/>
          <w:szCs w:val="21"/>
        </w:rPr>
      </w:pP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1适用范围</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本实施规范适用于深圳市生产及流通领域中小学学生服产品质量监督抽查。监督抽查产品范围包括以纺织织物为主要材料生产的、中小学生在学校日常统一穿着的服装及其配饰。</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本实施规范内容包括适用范围、产品种类、术语和定义、检验依据、抽样、检验要求，判定原则及异议处理复检。</w:t>
      </w:r>
    </w:p>
    <w:p>
      <w:pPr>
        <w:snapToGrid w:val="0"/>
        <w:spacing w:line="360" w:lineRule="auto"/>
        <w:outlineLvl w:val="0"/>
        <w:rPr>
          <w:rFonts w:ascii="仿宋_GB2312" w:hAnsi="宋体" w:eastAsia="仿宋_GB2312"/>
          <w:b/>
          <w:sz w:val="28"/>
          <w:szCs w:val="28"/>
        </w:rPr>
      </w:pPr>
      <w:r>
        <w:rPr>
          <w:rFonts w:hint="eastAsia" w:ascii="仿宋_GB2312" w:hAnsi="宋体" w:eastAsia="仿宋_GB2312"/>
          <w:b/>
          <w:sz w:val="28"/>
          <w:szCs w:val="28"/>
        </w:rPr>
        <w:t>2产品种类</w:t>
      </w:r>
    </w:p>
    <w:p>
      <w:pPr>
        <w:snapToGrid w:val="0"/>
        <w:spacing w:line="360" w:lineRule="auto"/>
        <w:jc w:val="center"/>
        <w:rPr>
          <w:rFonts w:ascii="黑体" w:hAnsi="黑体" w:eastAsia="黑体"/>
          <w:sz w:val="28"/>
          <w:szCs w:val="28"/>
        </w:rPr>
      </w:pPr>
      <w:r>
        <w:rPr>
          <w:rFonts w:hint="eastAsia" w:ascii="黑体" w:hAnsi="黑体" w:eastAsia="黑体"/>
          <w:sz w:val="28"/>
          <w:szCs w:val="28"/>
        </w:rPr>
        <w:t>表1 产品种类</w:t>
      </w:r>
    </w:p>
    <w:tbl>
      <w:tblPr>
        <w:tblStyle w:val="4"/>
        <w:tblW w:w="81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5" w:type="dxa"/>
            <w:noWrap w:val="0"/>
            <w:vAlign w:val="center"/>
          </w:tcPr>
          <w:p>
            <w:pPr>
              <w:tabs>
                <w:tab w:val="left" w:pos="4680"/>
              </w:tabs>
              <w:spacing w:line="320" w:lineRule="exact"/>
              <w:ind w:firstLine="120" w:firstLineChars="50"/>
              <w:jc w:val="center"/>
              <w:rPr>
                <w:rFonts w:ascii="黑体" w:hAnsi="黑体" w:eastAsia="黑体"/>
                <w:sz w:val="24"/>
              </w:rPr>
            </w:pPr>
            <w:r>
              <w:rPr>
                <w:rFonts w:hint="eastAsia" w:ascii="黑体" w:hAnsi="黑体" w:eastAsia="黑体"/>
                <w:sz w:val="24"/>
              </w:rPr>
              <w:t>产品种类</w:t>
            </w:r>
          </w:p>
        </w:tc>
        <w:tc>
          <w:tcPr>
            <w:tcW w:w="6240" w:type="dxa"/>
            <w:noWrap w:val="0"/>
            <w:vAlign w:val="center"/>
          </w:tcPr>
          <w:p>
            <w:pPr>
              <w:tabs>
                <w:tab w:val="left" w:pos="4680"/>
              </w:tabs>
              <w:spacing w:line="320" w:lineRule="exact"/>
              <w:ind w:firstLine="120" w:firstLineChars="50"/>
              <w:jc w:val="center"/>
              <w:rPr>
                <w:rFonts w:ascii="黑体" w:hAnsi="黑体" w:eastAsia="黑体"/>
                <w:sz w:val="24"/>
              </w:rPr>
            </w:pPr>
            <w:r>
              <w:rPr>
                <w:rFonts w:hint="eastAsia" w:ascii="黑体" w:hAns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5" w:type="dxa"/>
            <w:noWrap w:val="0"/>
            <w:vAlign w:val="center"/>
          </w:tcPr>
          <w:p>
            <w:pPr>
              <w:tabs>
                <w:tab w:val="left" w:pos="4680"/>
              </w:tabs>
              <w:spacing w:line="320" w:lineRule="exact"/>
              <w:jc w:val="center"/>
              <w:rPr>
                <w:rFonts w:ascii="仿宋_GB2312" w:hAnsi="宋体" w:eastAsia="仿宋_GB2312"/>
                <w:sz w:val="24"/>
              </w:rPr>
            </w:pPr>
            <w:r>
              <w:rPr>
                <w:rFonts w:hint="eastAsia" w:ascii="仿宋_GB2312" w:hAnsi="宋体" w:eastAsia="仿宋_GB2312"/>
                <w:sz w:val="24"/>
              </w:rPr>
              <w:t>中小学学生服</w:t>
            </w:r>
          </w:p>
        </w:tc>
        <w:tc>
          <w:tcPr>
            <w:tcW w:w="6240" w:type="dxa"/>
            <w:noWrap w:val="0"/>
            <w:vAlign w:val="center"/>
          </w:tcPr>
          <w:p>
            <w:pPr>
              <w:tabs>
                <w:tab w:val="left" w:pos="4680"/>
              </w:tabs>
              <w:spacing w:line="320" w:lineRule="exact"/>
              <w:jc w:val="left"/>
              <w:rPr>
                <w:rFonts w:ascii="仿宋_GB2312" w:eastAsia="仿宋_GB2312"/>
                <w:sz w:val="24"/>
              </w:rPr>
            </w:pPr>
            <w:r>
              <w:rPr>
                <w:rFonts w:ascii="仿宋_GB2312" w:eastAsia="仿宋_GB2312"/>
                <w:sz w:val="24"/>
              </w:rPr>
              <w:t>男、女衬衫，男、女西服，男春夏长裤，男秋冬长裤，女春夏短裙，女秋冬短裙，连衣裙，春夏秋运动服，冬运动服，春夏秋运动裤，冬运动裤，针织外套，马甲，春夏短裤等</w:t>
            </w:r>
            <w:r>
              <w:rPr>
                <w:rFonts w:hint="eastAsia" w:ascii="仿宋_GB2312" w:eastAsia="仿宋_GB2312"/>
                <w:sz w:val="24"/>
              </w:rPr>
              <w:t>。</w:t>
            </w:r>
          </w:p>
        </w:tc>
      </w:tr>
    </w:tbl>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3术语和定义</w:t>
      </w:r>
    </w:p>
    <w:p>
      <w:pPr>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中小学学生服：中小学学生在学校日常统一穿着的服装，穿着时形成学校的着装标志。</w:t>
      </w:r>
    </w:p>
    <w:p>
      <w:pPr>
        <w:snapToGrid w:val="0"/>
        <w:spacing w:line="360" w:lineRule="auto"/>
        <w:ind w:firstLine="560" w:firstLineChars="200"/>
        <w:rPr>
          <w:rFonts w:hint="eastAsia" w:ascii="仿宋_GB2312" w:hAnsi="ˎ̥" w:eastAsia="仿宋_GB2312"/>
          <w:sz w:val="28"/>
          <w:szCs w:val="28"/>
        </w:rPr>
      </w:pPr>
      <w:r>
        <w:rPr>
          <w:rFonts w:hint="eastAsia" w:ascii="仿宋_GB2312" w:hAnsi="宋体" w:eastAsia="仿宋_GB2312"/>
          <w:sz w:val="28"/>
          <w:szCs w:val="28"/>
        </w:rPr>
        <w:t>机织学生服：以纺织机织物为主要原料，成批生产的</w:t>
      </w:r>
      <w:r>
        <w:rPr>
          <w:rFonts w:ascii="仿宋_GB2312" w:hAnsi="宋体" w:eastAsia="仿宋_GB2312"/>
          <w:sz w:val="28"/>
          <w:szCs w:val="28"/>
        </w:rPr>
        <w:t>中小学学生服</w:t>
      </w:r>
      <w:r>
        <w:rPr>
          <w:rFonts w:hint="eastAsia" w:ascii="仿宋_GB2312" w:hAnsi="宋体" w:eastAsia="仿宋_GB2312"/>
          <w:sz w:val="28"/>
          <w:szCs w:val="28"/>
        </w:rPr>
        <w:t>。</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针织学生服：以针织面料为主要材料，成批生产的</w:t>
      </w:r>
      <w:r>
        <w:rPr>
          <w:rFonts w:ascii="仿宋_GB2312" w:hAnsi="宋体" w:eastAsia="仿宋_GB2312"/>
          <w:sz w:val="28"/>
          <w:szCs w:val="28"/>
        </w:rPr>
        <w:t>中小学学生服</w:t>
      </w:r>
      <w:r>
        <w:rPr>
          <w:rFonts w:hint="eastAsia" w:ascii="仿宋_GB2312" w:hAnsi="宋体" w:eastAsia="仿宋_GB2312"/>
          <w:sz w:val="28"/>
          <w:szCs w:val="28"/>
        </w:rPr>
        <w:t>。</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4检验依据</w:t>
      </w:r>
    </w:p>
    <w:p>
      <w:pPr>
        <w:snapToGrid w:val="0"/>
        <w:spacing w:line="360" w:lineRule="auto"/>
        <w:jc w:val="center"/>
        <w:rPr>
          <w:rFonts w:ascii="黑体" w:hAnsi="黑体" w:eastAsia="黑体"/>
          <w:sz w:val="28"/>
          <w:szCs w:val="28"/>
        </w:rPr>
      </w:pPr>
      <w:r>
        <w:rPr>
          <w:rFonts w:hint="eastAsia" w:ascii="黑体" w:hAnsi="黑体" w:eastAsia="黑体"/>
          <w:sz w:val="28"/>
          <w:szCs w:val="28"/>
        </w:rPr>
        <w:t>表2  检验依据</w:t>
      </w:r>
    </w:p>
    <w:tbl>
      <w:tblPr>
        <w:tblStyle w:val="4"/>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169"/>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677" w:type="dxa"/>
            <w:noWrap w:val="0"/>
            <w:vAlign w:val="center"/>
          </w:tcPr>
          <w:p>
            <w:pPr>
              <w:snapToGrid w:val="0"/>
              <w:jc w:val="center"/>
              <w:rPr>
                <w:rFonts w:ascii="黑体" w:hAnsi="黑体" w:eastAsia="黑体"/>
                <w:sz w:val="24"/>
              </w:rPr>
            </w:pPr>
            <w:r>
              <w:rPr>
                <w:rFonts w:hint="eastAsia" w:ascii="黑体" w:hAnsi="黑体" w:eastAsia="黑体"/>
                <w:sz w:val="24"/>
              </w:rPr>
              <w:t>标准号</w:t>
            </w:r>
          </w:p>
        </w:tc>
        <w:tc>
          <w:tcPr>
            <w:tcW w:w="5169" w:type="dxa"/>
            <w:noWrap w:val="0"/>
            <w:vAlign w:val="center"/>
          </w:tcPr>
          <w:p>
            <w:pPr>
              <w:snapToGrid w:val="0"/>
              <w:jc w:val="center"/>
              <w:rPr>
                <w:rFonts w:ascii="黑体" w:hAnsi="黑体" w:eastAsia="黑体"/>
                <w:sz w:val="24"/>
              </w:rPr>
            </w:pPr>
            <w:r>
              <w:rPr>
                <w:rFonts w:hint="eastAsia" w:ascii="黑体" w:hAnsi="黑体" w:eastAsia="黑体"/>
                <w:sz w:val="24"/>
              </w:rPr>
              <w:t>标准名称</w:t>
            </w:r>
          </w:p>
        </w:tc>
        <w:tc>
          <w:tcPr>
            <w:tcW w:w="2794" w:type="dxa"/>
            <w:noWrap w:val="0"/>
            <w:vAlign w:val="center"/>
          </w:tcPr>
          <w:p>
            <w:pPr>
              <w:snapToGrid w:val="0"/>
              <w:jc w:val="center"/>
              <w:rPr>
                <w:rFonts w:ascii="黑体" w:hAnsi="黑体" w:eastAsia="黑体"/>
                <w:sz w:val="24"/>
              </w:rPr>
            </w:pPr>
            <w:r>
              <w:rPr>
                <w:rFonts w:hint="eastAsia" w:ascii="黑体" w:hAnsi="黑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GB 18401</w:t>
            </w:r>
          </w:p>
        </w:tc>
        <w:tc>
          <w:tcPr>
            <w:tcW w:w="5169"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国家纺织产品基本安全技术规范</w:t>
            </w:r>
          </w:p>
        </w:tc>
        <w:tc>
          <w:tcPr>
            <w:tcW w:w="2794" w:type="dxa"/>
            <w:noWrap w:val="0"/>
            <w:vAlign w:val="center"/>
          </w:tcPr>
          <w:p>
            <w:pPr>
              <w:snapToGrid w:val="0"/>
              <w:jc w:val="center"/>
              <w:rPr>
                <w:rFonts w:ascii="仿宋_GB2312" w:eastAsia="仿宋_GB2312"/>
                <w:sz w:val="24"/>
              </w:rPr>
            </w:pPr>
            <w:r>
              <w:rPr>
                <w:rFonts w:hint="eastAsia" w:ascii="仿宋_GB2312" w:eastAsia="仿宋_GB2312"/>
                <w:sz w:val="24"/>
              </w:rPr>
              <w:sym w:font="Wingdings 2" w:char="F052"/>
            </w:r>
            <w:r>
              <w:rPr>
                <w:rFonts w:hint="eastAsia" w:ascii="仿宋_GB2312" w:hAnsi="宋体" w:eastAsia="仿宋_GB2312"/>
                <w:sz w:val="24"/>
              </w:rPr>
              <w:t xml:space="preserve">CMA  </w:t>
            </w:r>
            <w:r>
              <w:rPr>
                <w:rFonts w:hint="eastAsia" w:ascii="仿宋_GB2312" w:eastAsia="仿宋_GB2312"/>
                <w:sz w:val="24"/>
              </w:rPr>
              <w:sym w:font="Wingdings 2" w:char="F052"/>
            </w:r>
            <w:r>
              <w:rPr>
                <w:rFonts w:hint="eastAsia" w:ascii="仿宋_GB2312" w:hAnsi="宋体" w:eastAsia="仿宋_GB2312"/>
                <w:sz w:val="24"/>
              </w:rPr>
              <w:t xml:space="preserve">CAL </w:t>
            </w:r>
            <w:r>
              <w:rPr>
                <w:rFonts w:hint="eastAsia" w:ascii="仿宋_GB2312"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GB 31701</w:t>
            </w:r>
          </w:p>
        </w:tc>
        <w:tc>
          <w:tcPr>
            <w:tcW w:w="5169"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婴幼儿及儿童纺织产品安全技术规范</w:t>
            </w:r>
          </w:p>
        </w:tc>
        <w:tc>
          <w:tcPr>
            <w:tcW w:w="2794" w:type="dxa"/>
            <w:noWrap w:val="0"/>
            <w:vAlign w:val="center"/>
          </w:tcPr>
          <w:p>
            <w:pPr>
              <w:snapToGrid w:val="0"/>
              <w:jc w:val="center"/>
              <w:rPr>
                <w:rFonts w:ascii="仿宋_GB2312" w:eastAsia="仿宋_GB2312"/>
                <w:sz w:val="24"/>
              </w:rPr>
            </w:pPr>
            <w:r>
              <w:rPr>
                <w:rFonts w:hint="eastAsia" w:ascii="仿宋_GB2312" w:eastAsia="仿宋_GB2312"/>
                <w:sz w:val="24"/>
              </w:rPr>
              <w:sym w:font="Wingdings 2" w:char="F052"/>
            </w:r>
            <w:r>
              <w:rPr>
                <w:rFonts w:hint="eastAsia" w:ascii="仿宋_GB2312" w:hAnsi="宋体" w:eastAsia="仿宋_GB2312"/>
                <w:sz w:val="24"/>
              </w:rPr>
              <w:t xml:space="preserve">CMA  </w:t>
            </w:r>
            <w:r>
              <w:rPr>
                <w:rFonts w:hint="eastAsia" w:ascii="仿宋_GB2312" w:eastAsia="仿宋_GB2312"/>
                <w:sz w:val="24"/>
              </w:rPr>
              <w:sym w:font="Wingdings 2" w:char="F052"/>
            </w:r>
            <w:r>
              <w:rPr>
                <w:rFonts w:hint="eastAsia" w:ascii="仿宋_GB2312" w:hAnsi="宋体" w:eastAsia="仿宋_GB2312"/>
                <w:sz w:val="24"/>
              </w:rPr>
              <w:t xml:space="preserve">CAL </w:t>
            </w:r>
            <w:r>
              <w:rPr>
                <w:rFonts w:hint="eastAsia" w:ascii="仿宋_GB2312"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GB/T 5296.4</w:t>
            </w:r>
          </w:p>
        </w:tc>
        <w:tc>
          <w:tcPr>
            <w:tcW w:w="5169"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消费品使用说明第4部分： 纺织品和服装</w:t>
            </w:r>
          </w:p>
        </w:tc>
        <w:tc>
          <w:tcPr>
            <w:tcW w:w="2794" w:type="dxa"/>
            <w:noWrap w:val="0"/>
            <w:vAlign w:val="center"/>
          </w:tcPr>
          <w:p>
            <w:pPr>
              <w:snapToGrid w:val="0"/>
              <w:jc w:val="center"/>
              <w:rPr>
                <w:rFonts w:ascii="仿宋_GB2312" w:eastAsia="仿宋_GB2312"/>
                <w:sz w:val="24"/>
              </w:rPr>
            </w:pPr>
            <w:r>
              <w:rPr>
                <w:rFonts w:hint="eastAsia" w:ascii="仿宋_GB2312" w:eastAsia="仿宋_GB2312"/>
                <w:sz w:val="24"/>
              </w:rPr>
              <w:sym w:font="Wingdings 2" w:char="F052"/>
            </w:r>
            <w:r>
              <w:rPr>
                <w:rFonts w:hint="eastAsia" w:ascii="仿宋_GB2312" w:hAnsi="宋体" w:eastAsia="仿宋_GB2312"/>
                <w:sz w:val="24"/>
              </w:rPr>
              <w:t xml:space="preserve">CMA  </w:t>
            </w:r>
            <w:r>
              <w:rPr>
                <w:rFonts w:hint="eastAsia" w:ascii="仿宋_GB2312" w:eastAsia="仿宋_GB2312"/>
                <w:sz w:val="24"/>
              </w:rPr>
              <w:sym w:font="Wingdings 2" w:char="F052"/>
            </w:r>
            <w:r>
              <w:rPr>
                <w:rFonts w:hint="eastAsia" w:ascii="仿宋_GB2312" w:hAnsi="宋体" w:eastAsia="仿宋_GB2312"/>
                <w:sz w:val="24"/>
              </w:rPr>
              <w:t xml:space="preserve">CAL </w:t>
            </w:r>
            <w:r>
              <w:rPr>
                <w:rFonts w:hint="eastAsia" w:ascii="仿宋_GB2312"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GB/T 29862</w:t>
            </w:r>
          </w:p>
        </w:tc>
        <w:tc>
          <w:tcPr>
            <w:tcW w:w="5169"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t>纺织品 纤维含量的标识</w:t>
            </w:r>
          </w:p>
        </w:tc>
        <w:tc>
          <w:tcPr>
            <w:tcW w:w="2794" w:type="dxa"/>
            <w:noWrap w:val="0"/>
            <w:vAlign w:val="center"/>
          </w:tcPr>
          <w:p>
            <w:pPr>
              <w:spacing w:before="50"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GB/T 31888</w:t>
            </w:r>
          </w:p>
        </w:tc>
        <w:tc>
          <w:tcPr>
            <w:tcW w:w="5169" w:type="dxa"/>
            <w:noWrap w:val="0"/>
            <w:vAlign w:val="center"/>
          </w:tcPr>
          <w:p>
            <w:pPr>
              <w:snapToGrid w:val="0"/>
              <w:spacing w:before="50"/>
              <w:jc w:val="center"/>
              <w:rPr>
                <w:rFonts w:ascii="仿宋_GB2312" w:hAnsi="宋体" w:eastAsia="仿宋_GB2312"/>
                <w:sz w:val="24"/>
              </w:rPr>
            </w:pPr>
            <w:r>
              <w:rPr>
                <w:rFonts w:hint="eastAsia" w:ascii="仿宋_GB2312" w:hAnsi="宋体" w:eastAsia="仿宋_GB2312"/>
                <w:sz w:val="24"/>
              </w:rPr>
              <w:t>中小学生校服</w:t>
            </w:r>
          </w:p>
        </w:tc>
        <w:tc>
          <w:tcPr>
            <w:tcW w:w="2794" w:type="dxa"/>
            <w:noWrap w:val="0"/>
            <w:vAlign w:val="center"/>
          </w:tcPr>
          <w:p>
            <w:pPr>
              <w:snapToGrid w:val="0"/>
              <w:jc w:val="center"/>
              <w:rPr>
                <w:rFonts w:ascii="仿宋_GB2312" w:eastAsia="仿宋_GB2312"/>
                <w:sz w:val="24"/>
              </w:rPr>
            </w:pPr>
            <w:r>
              <w:rPr>
                <w:rFonts w:hint="eastAsia" w:ascii="仿宋_GB2312" w:eastAsia="仿宋_GB2312"/>
                <w:sz w:val="24"/>
              </w:rPr>
              <w:sym w:font="Wingdings 2" w:char="F052"/>
            </w:r>
            <w:r>
              <w:rPr>
                <w:rFonts w:hint="eastAsia" w:ascii="仿宋_GB2312" w:hAnsi="宋体" w:eastAsia="仿宋_GB2312"/>
                <w:sz w:val="24"/>
              </w:rPr>
              <w:t xml:space="preserve">CMA  </w:t>
            </w:r>
            <w:r>
              <w:rPr>
                <w:rFonts w:hint="eastAsia" w:ascii="仿宋_GB2312" w:eastAsia="仿宋_GB2312"/>
                <w:sz w:val="24"/>
              </w:rPr>
              <w:sym w:font="Wingdings 2" w:char="F052"/>
            </w:r>
            <w:r>
              <w:rPr>
                <w:rFonts w:hint="eastAsia" w:ascii="仿宋_GB2312" w:hAnsi="宋体" w:eastAsia="仿宋_GB2312"/>
                <w:sz w:val="24"/>
              </w:rPr>
              <w:t xml:space="preserve">CAL </w:t>
            </w:r>
            <w:r>
              <w:rPr>
                <w:rFonts w:hint="eastAsia" w:ascii="仿宋_GB2312"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GB/T 23328</w:t>
            </w:r>
          </w:p>
        </w:tc>
        <w:tc>
          <w:tcPr>
            <w:tcW w:w="5169"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机织学生服</w:t>
            </w:r>
          </w:p>
        </w:tc>
        <w:tc>
          <w:tcPr>
            <w:tcW w:w="2794" w:type="dxa"/>
            <w:noWrap w:val="0"/>
            <w:vAlign w:val="center"/>
          </w:tcPr>
          <w:p>
            <w:pPr>
              <w:snapToGrid w:val="0"/>
              <w:jc w:val="center"/>
              <w:rPr>
                <w:rFonts w:ascii="仿宋_GB2312" w:eastAsia="仿宋_GB2312"/>
                <w:sz w:val="24"/>
              </w:rPr>
            </w:pPr>
            <w:r>
              <w:rPr>
                <w:rFonts w:hint="eastAsia" w:ascii="仿宋_GB2312" w:eastAsia="仿宋_GB2312"/>
                <w:sz w:val="24"/>
              </w:rPr>
              <w:sym w:font="Wingdings 2" w:char="F052"/>
            </w:r>
            <w:r>
              <w:rPr>
                <w:rFonts w:hint="eastAsia" w:ascii="仿宋_GB2312" w:hAnsi="宋体" w:eastAsia="仿宋_GB2312"/>
                <w:sz w:val="24"/>
              </w:rPr>
              <w:t xml:space="preserve">CMA  </w:t>
            </w:r>
            <w:r>
              <w:rPr>
                <w:rFonts w:hint="eastAsia" w:ascii="仿宋_GB2312" w:eastAsia="仿宋_GB2312"/>
                <w:sz w:val="24"/>
              </w:rPr>
              <w:sym w:font="Wingdings 2" w:char="F052"/>
            </w:r>
            <w:r>
              <w:rPr>
                <w:rFonts w:hint="eastAsia" w:ascii="仿宋_GB2312" w:hAnsi="宋体" w:eastAsia="仿宋_GB2312"/>
                <w:sz w:val="24"/>
              </w:rPr>
              <w:t xml:space="preserve">CAL </w:t>
            </w:r>
            <w:r>
              <w:rPr>
                <w:rFonts w:hint="eastAsia" w:ascii="仿宋_GB2312"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GB/T 22854</w:t>
            </w:r>
          </w:p>
        </w:tc>
        <w:tc>
          <w:tcPr>
            <w:tcW w:w="5169"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针织学生服</w:t>
            </w:r>
          </w:p>
        </w:tc>
        <w:tc>
          <w:tcPr>
            <w:tcW w:w="2794" w:type="dxa"/>
            <w:noWrap w:val="0"/>
            <w:vAlign w:val="center"/>
          </w:tcPr>
          <w:p>
            <w:pPr>
              <w:snapToGrid w:val="0"/>
              <w:jc w:val="center"/>
              <w:rPr>
                <w:rFonts w:ascii="仿宋_GB2312" w:eastAsia="仿宋_GB2312"/>
                <w:sz w:val="24"/>
              </w:rPr>
            </w:pPr>
            <w:r>
              <w:rPr>
                <w:rFonts w:hint="eastAsia" w:ascii="仿宋_GB2312" w:eastAsia="仿宋_GB2312"/>
                <w:sz w:val="24"/>
              </w:rPr>
              <w:sym w:font="Wingdings 2" w:char="F052"/>
            </w:r>
            <w:r>
              <w:rPr>
                <w:rFonts w:hint="eastAsia" w:ascii="仿宋_GB2312" w:hAnsi="宋体" w:eastAsia="仿宋_GB2312"/>
                <w:sz w:val="24"/>
              </w:rPr>
              <w:t xml:space="preserve">CMA  </w:t>
            </w:r>
            <w:r>
              <w:rPr>
                <w:rFonts w:hint="eastAsia" w:ascii="仿宋_GB2312" w:eastAsia="仿宋_GB2312"/>
                <w:sz w:val="24"/>
              </w:rPr>
              <w:sym w:font="Wingdings 2" w:char="F052"/>
            </w:r>
            <w:r>
              <w:rPr>
                <w:rFonts w:hint="eastAsia" w:ascii="仿宋_GB2312" w:hAnsi="宋体" w:eastAsia="仿宋_GB2312"/>
                <w:sz w:val="24"/>
              </w:rPr>
              <w:t xml:space="preserve">CAL </w:t>
            </w:r>
            <w:r>
              <w:rPr>
                <w:rFonts w:hint="eastAsia" w:ascii="仿宋_GB2312"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SZJG 16</w:t>
            </w:r>
          </w:p>
        </w:tc>
        <w:tc>
          <w:tcPr>
            <w:tcW w:w="5169" w:type="dxa"/>
            <w:noWrap w:val="0"/>
            <w:vAlign w:val="center"/>
          </w:tcPr>
          <w:p>
            <w:pPr>
              <w:snapToGrid w:val="0"/>
              <w:spacing w:before="50"/>
              <w:jc w:val="center"/>
              <w:rPr>
                <w:rFonts w:ascii="仿宋_GB2312" w:hAnsi="宋体" w:eastAsia="仿宋_GB2312"/>
                <w:sz w:val="24"/>
              </w:rPr>
            </w:pPr>
            <w:r>
              <w:rPr>
                <w:rFonts w:hint="eastAsia" w:ascii="仿宋_GB2312" w:hAnsi="宋体" w:eastAsia="仿宋_GB2312"/>
                <w:sz w:val="24"/>
              </w:rPr>
              <w:t>中小学学生服质量要求</w:t>
            </w:r>
          </w:p>
        </w:tc>
        <w:tc>
          <w:tcPr>
            <w:tcW w:w="2794" w:type="dxa"/>
            <w:noWrap w:val="0"/>
            <w:vAlign w:val="center"/>
          </w:tcPr>
          <w:p>
            <w:pPr>
              <w:snapToGrid w:val="0"/>
              <w:jc w:val="center"/>
              <w:rPr>
                <w:rFonts w:ascii="仿宋_GB2312" w:eastAsia="仿宋_GB2312"/>
                <w:sz w:val="24"/>
              </w:rPr>
            </w:pPr>
            <w:r>
              <w:rPr>
                <w:rFonts w:hint="eastAsia" w:ascii="仿宋_GB2312" w:eastAsia="仿宋_GB2312"/>
                <w:sz w:val="24"/>
              </w:rPr>
              <w:sym w:font="Wingdings 2" w:char="F052"/>
            </w:r>
            <w:r>
              <w:rPr>
                <w:rFonts w:hint="eastAsia" w:ascii="仿宋_GB2312" w:hAnsi="宋体" w:eastAsia="仿宋_GB2312"/>
                <w:sz w:val="24"/>
              </w:rPr>
              <w:t xml:space="preserve">CMA  </w:t>
            </w:r>
            <w:r>
              <w:rPr>
                <w:rFonts w:hint="eastAsia" w:ascii="仿宋_GB2312" w:eastAsia="仿宋_GB2312"/>
                <w:sz w:val="24"/>
              </w:rPr>
              <w:sym w:font="Wingdings 2" w:char="F052"/>
            </w:r>
            <w:r>
              <w:rPr>
                <w:rFonts w:hint="eastAsia" w:ascii="仿宋_GB2312" w:hAnsi="宋体" w:eastAsia="仿宋_GB2312"/>
                <w:sz w:val="24"/>
              </w:rPr>
              <w:t xml:space="preserve">CAL </w:t>
            </w:r>
            <w:r>
              <w:rPr>
                <w:rFonts w:hint="eastAsia" w:ascii="仿宋_GB2312"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7"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w:t>
            </w:r>
          </w:p>
        </w:tc>
        <w:tc>
          <w:tcPr>
            <w:tcW w:w="5169" w:type="dxa"/>
            <w:noWrap w:val="0"/>
            <w:vAlign w:val="center"/>
          </w:tcPr>
          <w:p>
            <w:pPr>
              <w:spacing w:before="50"/>
              <w:jc w:val="center"/>
              <w:rPr>
                <w:rFonts w:ascii="仿宋_GB2312" w:hAnsi="宋体" w:eastAsia="仿宋_GB2312"/>
                <w:sz w:val="24"/>
              </w:rPr>
            </w:pPr>
            <w:r>
              <w:rPr>
                <w:rFonts w:hint="eastAsia" w:ascii="仿宋_GB2312" w:hAnsi="宋体" w:eastAsia="仿宋_GB2312"/>
                <w:sz w:val="24"/>
              </w:rPr>
              <w:t>明示企业标准</w:t>
            </w:r>
          </w:p>
        </w:tc>
        <w:tc>
          <w:tcPr>
            <w:tcW w:w="2794" w:type="dxa"/>
            <w:noWrap w:val="0"/>
            <w:vAlign w:val="center"/>
          </w:tcPr>
          <w:p>
            <w:pPr>
              <w:snapToGrid w:val="0"/>
              <w:jc w:val="center"/>
              <w:rPr>
                <w:rFonts w:ascii="仿宋_GB2312" w:eastAsia="仿宋_GB2312"/>
                <w:sz w:val="24"/>
              </w:rPr>
            </w:pPr>
          </w:p>
        </w:tc>
      </w:tr>
    </w:tbl>
    <w:p>
      <w:pPr>
        <w:spacing w:line="360" w:lineRule="auto"/>
        <w:rPr>
          <w:rFonts w:ascii="仿宋_GB2312" w:hAnsi="宋体" w:eastAsia="仿宋_GB2312"/>
          <w:b/>
          <w:sz w:val="28"/>
          <w:szCs w:val="28"/>
        </w:rPr>
      </w:pPr>
      <w:r>
        <w:rPr>
          <w:rFonts w:hint="eastAsia" w:ascii="仿宋_GB2312" w:hAnsi="宋体" w:eastAsia="仿宋_GB2312"/>
          <w:b/>
          <w:sz w:val="28"/>
          <w:szCs w:val="28"/>
        </w:rPr>
        <w:t>5抽样</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5.1抽样型号或规格</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根据产品的销售单元（件/条/套）抽取相同款式（货/款号）、相同花型和相同颜色的同一批次的产品。</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5.2取样方式</w:t>
      </w:r>
    </w:p>
    <w:p>
      <w:pPr>
        <w:snapToGrid w:val="0"/>
        <w:spacing w:line="360" w:lineRule="auto"/>
        <w:ind w:firstLine="562" w:firstLineChars="200"/>
        <w:rPr>
          <w:rFonts w:ascii="仿宋_GB2312" w:hAnsi="宋体" w:eastAsia="仿宋_GB2312"/>
          <w:sz w:val="28"/>
          <w:szCs w:val="28"/>
        </w:rPr>
      </w:pP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360" w:lineRule="auto"/>
        <w:ind w:firstLine="562" w:firstLineChars="200"/>
        <w:rPr>
          <w:rFonts w:hint="eastAsia" w:ascii="仿宋_GB2312" w:hAnsi="宋体" w:eastAsia="仿宋_GB2312"/>
          <w:sz w:val="28"/>
          <w:szCs w:val="28"/>
        </w:rPr>
      </w:pPr>
      <w:r>
        <w:rPr>
          <w:rFonts w:hint="eastAsia" w:ascii="仿宋_GB2312" w:hAnsi="宋体" w:eastAsia="仿宋_GB2312"/>
          <w:b/>
          <w:bCs/>
          <w:sz w:val="28"/>
          <w:szCs w:val="28"/>
        </w:rPr>
        <w:t>流通领域：</w:t>
      </w:r>
      <w:r>
        <w:rPr>
          <w:rFonts w:hint="eastAsia" w:ascii="仿宋_GB2312" w:hAnsi="宋体" w:eastAsia="仿宋_GB2312"/>
          <w:sz w:val="28"/>
          <w:szCs w:val="28"/>
        </w:rPr>
        <w:t>在流通领域抽样，可采取在实体店或网络交易平台两种方式获得样品。</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网络交易平台：若网络交易平台是在深圳市登记注册的，可对该平台的自营商品进行抽检。若网络交易平台不在深圳市登记注册的，仅可对其平台上在深圳市依法登记的经营者销售的商品进行抽检。在网络交易平台抽样，检验样品以及备用样品原则上均以向商家购样为主。</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sz w:val="28"/>
          <w:szCs w:val="28"/>
        </w:rPr>
        <w:t>5.3抽样基数</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在生产企业及流通领域抽样时，抽样基数应不少于抽取样品量。</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5.4抽样数量</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随机抽取同一批次、同一颜色的9件/条/套样品，6件/条/套作为检验样品带回承检机构，3件/条/套作为备用样品封存于承检机构。</w:t>
      </w:r>
    </w:p>
    <w:p>
      <w:pPr>
        <w:snapToGrid w:val="0"/>
        <w:spacing w:line="360" w:lineRule="auto"/>
        <w:rPr>
          <w:rFonts w:hint="eastAsia" w:ascii="仿宋_GB2312" w:hAnsi="宋体" w:eastAsia="仿宋_GB2312"/>
          <w:b/>
          <w:bCs/>
          <w:sz w:val="28"/>
          <w:szCs w:val="28"/>
        </w:rPr>
      </w:pPr>
      <w:r>
        <w:rPr>
          <w:rFonts w:hint="eastAsia" w:ascii="仿宋_GB2312" w:hAnsi="宋体" w:eastAsia="仿宋_GB2312"/>
          <w:b/>
          <w:bCs/>
          <w:sz w:val="28"/>
          <w:szCs w:val="28"/>
        </w:rPr>
        <w:t>5.5 取样要求</w:t>
      </w:r>
    </w:p>
    <w:p>
      <w:pPr>
        <w:snapToGrid w:val="0"/>
        <w:spacing w:line="360" w:lineRule="auto"/>
        <w:rPr>
          <w:rFonts w:hint="eastAsia" w:ascii="仿宋_GB2312" w:hAnsi="宋体" w:eastAsia="仿宋_GB2312"/>
          <w:sz w:val="28"/>
          <w:szCs w:val="28"/>
        </w:rPr>
      </w:pPr>
      <w:r>
        <w:rPr>
          <w:rFonts w:hint="eastAsia" w:ascii="仿宋_GB2312" w:hAnsi="宋体" w:eastAsia="仿宋_GB2312"/>
          <w:b/>
          <w:bCs/>
          <w:sz w:val="28"/>
          <w:szCs w:val="28"/>
        </w:rPr>
        <w:t>5.5.1</w:t>
      </w:r>
      <w:r>
        <w:rPr>
          <w:rFonts w:hint="eastAsia" w:ascii="仿宋_GB2312" w:hAnsi="宋体" w:eastAsia="仿宋_GB2312"/>
          <w:sz w:val="28"/>
          <w:szCs w:val="28"/>
        </w:rPr>
        <w:t xml:space="preserve"> 样品应当由抽样人员在被抽样生产者、销售者的代销产品中随机抽取，不得由被抽样生产者、销售者自行抽样。</w:t>
      </w:r>
    </w:p>
    <w:p>
      <w:pPr>
        <w:snapToGrid w:val="0"/>
        <w:spacing w:line="360" w:lineRule="auto"/>
        <w:rPr>
          <w:rFonts w:hint="eastAsia" w:ascii="仿宋_GB2312" w:hAnsi="宋体" w:eastAsia="仿宋_GB2312"/>
          <w:sz w:val="28"/>
          <w:szCs w:val="28"/>
        </w:rPr>
      </w:pPr>
      <w:r>
        <w:rPr>
          <w:rFonts w:hint="eastAsia" w:ascii="仿宋_GB2312" w:hAnsi="宋体" w:eastAsia="仿宋_GB2312"/>
          <w:b/>
          <w:bCs/>
          <w:sz w:val="28"/>
          <w:szCs w:val="28"/>
        </w:rPr>
        <w:t>5.5.2</w:t>
      </w:r>
      <w:r>
        <w:rPr>
          <w:rFonts w:hint="eastAsia" w:ascii="仿宋_GB2312" w:hAnsi="宋体"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napToGrid w:val="0"/>
        <w:spacing w:line="360" w:lineRule="auto"/>
        <w:rPr>
          <w:rFonts w:ascii="仿宋_GB2312" w:hAnsi="宋体" w:eastAsia="仿宋_GB2312"/>
          <w:sz w:val="28"/>
          <w:szCs w:val="28"/>
        </w:rPr>
      </w:pPr>
      <w:r>
        <w:rPr>
          <w:rFonts w:hint="eastAsia" w:ascii="仿宋_GB2312" w:hAnsi="宋体" w:eastAsia="仿宋_GB2312"/>
          <w:b/>
          <w:bCs/>
          <w:sz w:val="28"/>
          <w:szCs w:val="28"/>
        </w:rPr>
        <w:t>5.5.3</w:t>
      </w:r>
      <w:r>
        <w:rPr>
          <w:rFonts w:hint="eastAsia" w:ascii="仿宋_GB2312" w:hAnsi="宋体" w:eastAsia="仿宋_GB2312"/>
          <w:sz w:val="28"/>
          <w:szCs w:val="28"/>
        </w:rPr>
        <w:t>抽样时应一并抽取产品的配件、赠品等。</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5.6样品处置</w:t>
      </w:r>
    </w:p>
    <w:p>
      <w:pPr>
        <w:snapToGrid w:val="0"/>
        <w:spacing w:line="360" w:lineRule="auto"/>
        <w:rPr>
          <w:rFonts w:ascii="仿宋_GB2312" w:hAnsi="宋体" w:eastAsia="仿宋_GB2312"/>
          <w:color w:val="000000"/>
          <w:sz w:val="28"/>
          <w:szCs w:val="28"/>
        </w:rPr>
      </w:pPr>
      <w:r>
        <w:rPr>
          <w:rFonts w:hint="eastAsia" w:ascii="仿宋_GB2312" w:hAnsi="ˎ̥" w:eastAsia="仿宋_GB2312"/>
          <w:b/>
          <w:color w:val="000000"/>
          <w:sz w:val="28"/>
          <w:szCs w:val="28"/>
        </w:rPr>
        <w:t>5.6.1</w:t>
      </w:r>
      <w:r>
        <w:rPr>
          <w:rFonts w:hint="eastAsia" w:ascii="仿宋_GB2312" w:hAnsi="宋体" w:eastAsia="仿宋_GB2312"/>
          <w:color w:val="000000"/>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napToGrid w:val="0"/>
        <w:spacing w:line="360" w:lineRule="auto"/>
        <w:rPr>
          <w:rFonts w:ascii="仿宋_GB2312" w:eastAsia="仿宋_GB2312"/>
          <w:color w:val="000000"/>
          <w:sz w:val="28"/>
          <w:szCs w:val="28"/>
        </w:rPr>
      </w:pPr>
      <w:r>
        <w:rPr>
          <w:rFonts w:hint="eastAsia" w:ascii="仿宋_GB2312" w:hAnsi="宋体" w:eastAsia="仿宋_GB2312"/>
          <w:b/>
          <w:color w:val="000000"/>
          <w:sz w:val="28"/>
          <w:szCs w:val="28"/>
        </w:rPr>
        <w:t>5.6.2</w:t>
      </w:r>
      <w:r>
        <w:rPr>
          <w:rFonts w:hint="eastAsia" w:ascii="仿宋_GB2312" w:eastAsia="仿宋_GB2312"/>
          <w:color w:val="000000"/>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5.7抽样单</w:t>
      </w:r>
    </w:p>
    <w:p>
      <w:pPr>
        <w:snapToGrid w:val="0"/>
        <w:spacing w:line="360" w:lineRule="auto"/>
        <w:ind w:firstLine="560" w:firstLineChars="200"/>
        <w:rPr>
          <w:rFonts w:ascii="仿宋_GB2312" w:eastAsia="仿宋_GB2312" w:cs="Sim Sun"/>
          <w:color w:val="000000"/>
          <w:kern w:val="0"/>
          <w:sz w:val="28"/>
          <w:szCs w:val="28"/>
        </w:rPr>
      </w:pPr>
      <w:r>
        <w:rPr>
          <w:rFonts w:hint="eastAsia" w:ascii="仿宋_GB2312" w:hAnsi="宋体" w:eastAsia="仿宋_GB2312"/>
          <w:color w:val="000000"/>
          <w:sz w:val="28"/>
          <w:szCs w:val="28"/>
        </w:rPr>
        <w:t>应按有关规定填写抽样单，并记录被抽查产品及企业相关信息。</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6 检验要求</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6.1 检验项目</w:t>
      </w:r>
    </w:p>
    <w:p>
      <w:pPr>
        <w:snapToGrid w:val="0"/>
        <w:spacing w:line="360" w:lineRule="auto"/>
        <w:jc w:val="center"/>
        <w:rPr>
          <w:rFonts w:ascii="黑体" w:hAnsi="黑体" w:eastAsia="黑体"/>
          <w:sz w:val="28"/>
          <w:szCs w:val="28"/>
        </w:rPr>
      </w:pPr>
      <w:r>
        <w:rPr>
          <w:rFonts w:hint="eastAsia" w:ascii="黑体" w:hAnsi="黑体" w:eastAsia="黑体"/>
          <w:sz w:val="28"/>
          <w:szCs w:val="28"/>
        </w:rPr>
        <w:t>表3  检验项目、依据及方法等要求</w:t>
      </w:r>
    </w:p>
    <w:tbl>
      <w:tblPr>
        <w:tblStyle w:val="4"/>
        <w:tblW w:w="9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42"/>
        <w:gridCol w:w="854"/>
        <w:gridCol w:w="2360"/>
        <w:gridCol w:w="1087"/>
        <w:gridCol w:w="269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645" w:type="dxa"/>
            <w:noWrap w:val="0"/>
            <w:vAlign w:val="center"/>
          </w:tcPr>
          <w:p>
            <w:pPr>
              <w:pStyle w:val="2"/>
              <w:snapToGrid w:val="0"/>
              <w:jc w:val="center"/>
              <w:rPr>
                <w:rFonts w:ascii="黑体" w:hAnsi="黑体" w:eastAsia="黑体"/>
                <w:sz w:val="24"/>
                <w:szCs w:val="24"/>
              </w:rPr>
            </w:pPr>
            <w:r>
              <w:rPr>
                <w:rFonts w:hint="eastAsia" w:ascii="黑体" w:hAnsi="黑体" w:eastAsia="黑体"/>
                <w:sz w:val="24"/>
                <w:szCs w:val="24"/>
              </w:rPr>
              <w:t>序号</w:t>
            </w:r>
          </w:p>
        </w:tc>
        <w:tc>
          <w:tcPr>
            <w:tcW w:w="1896" w:type="dxa"/>
            <w:gridSpan w:val="2"/>
            <w:noWrap w:val="0"/>
            <w:vAlign w:val="center"/>
          </w:tcPr>
          <w:p>
            <w:pPr>
              <w:pStyle w:val="2"/>
              <w:snapToGrid w:val="0"/>
              <w:jc w:val="center"/>
              <w:rPr>
                <w:rFonts w:ascii="黑体" w:hAnsi="黑体" w:eastAsia="黑体"/>
                <w:sz w:val="24"/>
                <w:szCs w:val="24"/>
              </w:rPr>
            </w:pPr>
            <w:r>
              <w:rPr>
                <w:rFonts w:hint="eastAsia" w:ascii="黑体" w:hAnsi="黑体" w:eastAsia="黑体"/>
                <w:sz w:val="24"/>
                <w:szCs w:val="24"/>
              </w:rPr>
              <w:t>检验项目</w:t>
            </w:r>
          </w:p>
        </w:tc>
        <w:tc>
          <w:tcPr>
            <w:tcW w:w="2360" w:type="dxa"/>
            <w:noWrap w:val="0"/>
            <w:vAlign w:val="center"/>
          </w:tcPr>
          <w:p>
            <w:pPr>
              <w:pStyle w:val="2"/>
              <w:snapToGrid w:val="0"/>
              <w:jc w:val="center"/>
              <w:rPr>
                <w:rFonts w:ascii="黑体" w:hAnsi="黑体" w:eastAsia="黑体"/>
                <w:sz w:val="24"/>
                <w:szCs w:val="24"/>
              </w:rPr>
            </w:pPr>
            <w:r>
              <w:rPr>
                <w:rFonts w:hint="eastAsia" w:ascii="黑体" w:hAnsi="黑体" w:eastAsia="黑体"/>
                <w:sz w:val="24"/>
                <w:szCs w:val="24"/>
              </w:rPr>
              <w:t>检验依据</w:t>
            </w:r>
          </w:p>
        </w:tc>
        <w:tc>
          <w:tcPr>
            <w:tcW w:w="1087" w:type="dxa"/>
            <w:noWrap w:val="0"/>
            <w:vAlign w:val="center"/>
          </w:tcPr>
          <w:p>
            <w:pPr>
              <w:pStyle w:val="2"/>
              <w:snapToGrid w:val="0"/>
              <w:jc w:val="center"/>
              <w:rPr>
                <w:rFonts w:ascii="黑体" w:hAnsi="黑体" w:eastAsia="黑体"/>
                <w:sz w:val="24"/>
                <w:szCs w:val="24"/>
              </w:rPr>
            </w:pPr>
            <w:r>
              <w:rPr>
                <w:rFonts w:hint="eastAsia" w:ascii="黑体" w:hAnsi="黑体" w:eastAsia="黑体"/>
                <w:sz w:val="24"/>
                <w:szCs w:val="24"/>
              </w:rPr>
              <w:t>项目性质</w:t>
            </w:r>
          </w:p>
        </w:tc>
        <w:tc>
          <w:tcPr>
            <w:tcW w:w="2693" w:type="dxa"/>
            <w:noWrap w:val="0"/>
            <w:vAlign w:val="center"/>
          </w:tcPr>
          <w:p>
            <w:pPr>
              <w:pStyle w:val="2"/>
              <w:snapToGrid w:val="0"/>
              <w:jc w:val="center"/>
              <w:rPr>
                <w:rFonts w:ascii="黑体" w:hAnsi="黑体" w:eastAsia="黑体"/>
                <w:sz w:val="24"/>
                <w:szCs w:val="24"/>
              </w:rPr>
            </w:pPr>
            <w:r>
              <w:rPr>
                <w:rFonts w:hint="eastAsia" w:ascii="黑体" w:hAnsi="黑体" w:eastAsia="黑体"/>
                <w:sz w:val="24"/>
                <w:szCs w:val="24"/>
              </w:rPr>
              <w:t>检测方法</w:t>
            </w:r>
          </w:p>
        </w:tc>
        <w:tc>
          <w:tcPr>
            <w:tcW w:w="851" w:type="dxa"/>
            <w:noWrap w:val="0"/>
            <w:vAlign w:val="center"/>
          </w:tcPr>
          <w:p>
            <w:pPr>
              <w:widowControl/>
              <w:snapToGrid w:val="0"/>
              <w:jc w:val="center"/>
              <w:rPr>
                <w:rFonts w:ascii="黑体" w:hAnsi="宋体" w:eastAsia="黑体" w:cs="宋体"/>
                <w:bCs/>
                <w:sz w:val="24"/>
              </w:rPr>
            </w:pPr>
            <w:r>
              <w:rPr>
                <w:rFonts w:hint="eastAsia" w:ascii="黑体" w:hAnsi="宋体" w:eastAsia="黑体" w:cs="宋体"/>
                <w:bCs/>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1</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可分解致癌芳香胺染料</w:t>
            </w:r>
          </w:p>
        </w:tc>
        <w:tc>
          <w:tcPr>
            <w:tcW w:w="2360" w:type="dxa"/>
            <w:vMerge w:val="restart"/>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GB18401-2010 5.1</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GB31701-2015 4.2</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SZJG16-2013 3.4</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GB/T31888-2015 4.2</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17592</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23344</w:t>
            </w:r>
          </w:p>
        </w:tc>
        <w:tc>
          <w:tcPr>
            <w:tcW w:w="851" w:type="dxa"/>
            <w:noWrap w:val="0"/>
            <w:vAlign w:val="center"/>
          </w:tcPr>
          <w:p>
            <w:pPr>
              <w:widowControl/>
              <w:snapToGrid w:val="0"/>
              <w:jc w:val="center"/>
              <w:rPr>
                <w:rFonts w:ascii="仿宋_GB2312" w:hAnsi="宋体" w:eastAsia="仿宋_GB2312" w:cs="宋体"/>
                <w:bCs/>
                <w:sz w:val="24"/>
              </w:rP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2</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异味</w:t>
            </w:r>
          </w:p>
        </w:tc>
        <w:tc>
          <w:tcPr>
            <w:tcW w:w="2360" w:type="dxa"/>
            <w:vMerge w:val="continue"/>
            <w:noWrap w:val="0"/>
            <w:vAlign w:val="center"/>
          </w:tcPr>
          <w:p>
            <w:pPr>
              <w:pStyle w:val="2"/>
              <w:snapToGrid w:val="0"/>
              <w:jc w:val="center"/>
              <w:rPr>
                <w:rFonts w:ascii="仿宋_GB2312" w:hAnsi="宋体" w:eastAsia="仿宋_GB2312"/>
                <w:sz w:val="24"/>
                <w:szCs w:val="24"/>
              </w:rPr>
            </w:pP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 18401</w:t>
            </w:r>
          </w:p>
        </w:tc>
        <w:tc>
          <w:tcPr>
            <w:tcW w:w="851" w:type="dxa"/>
            <w:noWrap w:val="0"/>
            <w:vAlign w:val="center"/>
          </w:tcPr>
          <w:p>
            <w:pPr>
              <w:jc w:val="cente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3</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甲醛含量</w:t>
            </w:r>
          </w:p>
        </w:tc>
        <w:tc>
          <w:tcPr>
            <w:tcW w:w="2360" w:type="dxa"/>
            <w:vMerge w:val="continue"/>
            <w:noWrap w:val="0"/>
            <w:vAlign w:val="center"/>
          </w:tcPr>
          <w:p>
            <w:pPr>
              <w:pStyle w:val="2"/>
              <w:snapToGrid w:val="0"/>
              <w:jc w:val="center"/>
              <w:rPr>
                <w:rFonts w:ascii="仿宋_GB2312" w:hAnsi="宋体" w:eastAsia="仿宋_GB2312"/>
                <w:sz w:val="24"/>
                <w:szCs w:val="24"/>
              </w:rPr>
            </w:pP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2912.1</w:t>
            </w:r>
          </w:p>
        </w:tc>
        <w:tc>
          <w:tcPr>
            <w:tcW w:w="851" w:type="dxa"/>
            <w:noWrap w:val="0"/>
            <w:vAlign w:val="center"/>
          </w:tcPr>
          <w:p>
            <w:pPr>
              <w:jc w:val="cente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4</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pH值</w:t>
            </w:r>
          </w:p>
        </w:tc>
        <w:tc>
          <w:tcPr>
            <w:tcW w:w="2360" w:type="dxa"/>
            <w:vMerge w:val="continue"/>
            <w:noWrap w:val="0"/>
            <w:vAlign w:val="center"/>
          </w:tcPr>
          <w:p>
            <w:pPr>
              <w:pStyle w:val="2"/>
              <w:snapToGrid w:val="0"/>
              <w:jc w:val="center"/>
              <w:rPr>
                <w:rFonts w:ascii="仿宋_GB2312" w:hAnsi="宋体" w:eastAsia="仿宋_GB2312"/>
                <w:sz w:val="24"/>
                <w:szCs w:val="24"/>
              </w:rPr>
            </w:pP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7573</w:t>
            </w:r>
          </w:p>
        </w:tc>
        <w:tc>
          <w:tcPr>
            <w:tcW w:w="851" w:type="dxa"/>
            <w:noWrap w:val="0"/>
            <w:vAlign w:val="center"/>
          </w:tcPr>
          <w:p>
            <w:pPr>
              <w:jc w:val="cente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5</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耐水色牢度</w:t>
            </w:r>
          </w:p>
        </w:tc>
        <w:tc>
          <w:tcPr>
            <w:tcW w:w="2360" w:type="dxa"/>
            <w:vMerge w:val="restart"/>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GB18401-2010 5.1</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GB31701-2015 4.2</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SZJG16-2013 3.4</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GB/T31888-2015 4.2</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5713</w:t>
            </w:r>
          </w:p>
        </w:tc>
        <w:tc>
          <w:tcPr>
            <w:tcW w:w="851" w:type="dxa"/>
            <w:noWrap w:val="0"/>
            <w:vAlign w:val="center"/>
          </w:tcPr>
          <w:p>
            <w:pPr>
              <w:jc w:val="cente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6</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耐酸汗渍色牢度</w:t>
            </w:r>
          </w:p>
        </w:tc>
        <w:tc>
          <w:tcPr>
            <w:tcW w:w="2360" w:type="dxa"/>
            <w:vMerge w:val="continue"/>
            <w:noWrap w:val="0"/>
            <w:vAlign w:val="center"/>
          </w:tcPr>
          <w:p>
            <w:pPr>
              <w:pStyle w:val="2"/>
              <w:snapToGrid w:val="0"/>
              <w:jc w:val="center"/>
              <w:rPr>
                <w:rFonts w:ascii="仿宋_GB2312" w:hAnsi="宋体" w:eastAsia="仿宋_GB2312"/>
                <w:sz w:val="24"/>
                <w:szCs w:val="24"/>
              </w:rPr>
            </w:pP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3922</w:t>
            </w:r>
          </w:p>
        </w:tc>
        <w:tc>
          <w:tcPr>
            <w:tcW w:w="851" w:type="dxa"/>
            <w:noWrap w:val="0"/>
            <w:vAlign w:val="center"/>
          </w:tcPr>
          <w:p>
            <w:pPr>
              <w:jc w:val="cente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7</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耐碱汗渍色牢度</w:t>
            </w:r>
          </w:p>
        </w:tc>
        <w:tc>
          <w:tcPr>
            <w:tcW w:w="2360" w:type="dxa"/>
            <w:vMerge w:val="continue"/>
            <w:noWrap w:val="0"/>
            <w:vAlign w:val="center"/>
          </w:tcPr>
          <w:p>
            <w:pPr>
              <w:pStyle w:val="2"/>
              <w:snapToGrid w:val="0"/>
              <w:jc w:val="center"/>
              <w:rPr>
                <w:rFonts w:ascii="仿宋_GB2312" w:hAnsi="宋体" w:eastAsia="仿宋_GB2312"/>
                <w:sz w:val="24"/>
                <w:szCs w:val="24"/>
              </w:rPr>
            </w:pP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3922</w:t>
            </w:r>
          </w:p>
        </w:tc>
        <w:tc>
          <w:tcPr>
            <w:tcW w:w="851" w:type="dxa"/>
            <w:noWrap w:val="0"/>
            <w:vAlign w:val="center"/>
          </w:tcPr>
          <w:p>
            <w:pPr>
              <w:jc w:val="cente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8</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耐干摩擦色牢度</w:t>
            </w:r>
          </w:p>
        </w:tc>
        <w:tc>
          <w:tcPr>
            <w:tcW w:w="2360" w:type="dxa"/>
            <w:vMerge w:val="continue"/>
            <w:noWrap w:val="0"/>
            <w:vAlign w:val="center"/>
          </w:tcPr>
          <w:p>
            <w:pPr>
              <w:pStyle w:val="2"/>
              <w:snapToGrid w:val="0"/>
              <w:jc w:val="center"/>
              <w:rPr>
                <w:rFonts w:ascii="仿宋_GB2312" w:hAnsi="宋体" w:eastAsia="仿宋_GB2312"/>
                <w:sz w:val="24"/>
                <w:szCs w:val="24"/>
              </w:rPr>
            </w:pP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3920</w:t>
            </w:r>
          </w:p>
        </w:tc>
        <w:tc>
          <w:tcPr>
            <w:tcW w:w="851" w:type="dxa"/>
            <w:noWrap w:val="0"/>
            <w:vAlign w:val="center"/>
          </w:tcPr>
          <w:p>
            <w:pPr>
              <w:jc w:val="cente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9</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纤维含量</w:t>
            </w:r>
          </w:p>
        </w:tc>
        <w:tc>
          <w:tcPr>
            <w:tcW w:w="2360"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SZJG16-2013 3.4</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GB/T31888-2015 4.2</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GB/T29862-2013</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FZ/T 01057</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2910等</w:t>
            </w:r>
          </w:p>
        </w:tc>
        <w:tc>
          <w:tcPr>
            <w:tcW w:w="851"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10</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耐湿摩擦色牢度</w:t>
            </w:r>
          </w:p>
        </w:tc>
        <w:tc>
          <w:tcPr>
            <w:tcW w:w="2360"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GB31701-2015 4.2</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SZJG16-2013 3.4</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GB/T31888-2015 4.2</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3920</w:t>
            </w:r>
          </w:p>
        </w:tc>
        <w:tc>
          <w:tcPr>
            <w:tcW w:w="851"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11</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燃烧性能</w:t>
            </w:r>
            <w:r>
              <w:rPr>
                <w:rFonts w:hint="eastAsia" w:ascii="仿宋_GB2312" w:hAnsi="宋体" w:eastAsia="仿宋_GB2312"/>
                <w:sz w:val="24"/>
                <w:szCs w:val="24"/>
                <w:vertAlign w:val="superscript"/>
              </w:rPr>
              <w:t>1</w:t>
            </w:r>
          </w:p>
        </w:tc>
        <w:tc>
          <w:tcPr>
            <w:tcW w:w="2360"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GB31701-2015 4.2</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14644</w:t>
            </w:r>
          </w:p>
        </w:tc>
        <w:tc>
          <w:tcPr>
            <w:tcW w:w="851" w:type="dxa"/>
            <w:noWrap w:val="0"/>
            <w:vAlign w:val="center"/>
          </w:tcPr>
          <w:p>
            <w:pPr>
              <w:jc w:val="cente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12</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附件锐利性</w:t>
            </w:r>
            <w:r>
              <w:rPr>
                <w:rFonts w:hint="eastAsia" w:ascii="仿宋_GB2312" w:hAnsi="宋体" w:eastAsia="仿宋_GB2312"/>
                <w:sz w:val="24"/>
                <w:szCs w:val="24"/>
                <w:vertAlign w:val="superscript"/>
              </w:rPr>
              <w:t>1</w:t>
            </w:r>
          </w:p>
        </w:tc>
        <w:tc>
          <w:tcPr>
            <w:tcW w:w="2360"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GB31701-2015 4.4.2</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31702</w:t>
            </w:r>
          </w:p>
        </w:tc>
        <w:tc>
          <w:tcPr>
            <w:tcW w:w="851" w:type="dxa"/>
            <w:noWrap w:val="0"/>
            <w:vAlign w:val="center"/>
          </w:tcPr>
          <w:p>
            <w:pPr>
              <w:jc w:val="cente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13</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绳带</w:t>
            </w:r>
            <w:r>
              <w:rPr>
                <w:rFonts w:hint="eastAsia" w:ascii="仿宋_GB2312" w:hAnsi="宋体" w:eastAsia="仿宋_GB2312"/>
                <w:sz w:val="24"/>
                <w:szCs w:val="24"/>
                <w:vertAlign w:val="superscript"/>
              </w:rPr>
              <w:t>1</w:t>
            </w:r>
          </w:p>
        </w:tc>
        <w:tc>
          <w:tcPr>
            <w:tcW w:w="2360"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GB31701-2015 4.4.3</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目测、尺量</w:t>
            </w:r>
          </w:p>
        </w:tc>
        <w:tc>
          <w:tcPr>
            <w:tcW w:w="851" w:type="dxa"/>
            <w:noWrap w:val="0"/>
            <w:vAlign w:val="center"/>
          </w:tcPr>
          <w:p>
            <w:pPr>
              <w:jc w:val="cente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14</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锐利物</w:t>
            </w:r>
            <w:r>
              <w:rPr>
                <w:rFonts w:hint="eastAsia" w:ascii="仿宋_GB2312" w:hAnsi="宋体" w:eastAsia="仿宋_GB2312"/>
                <w:sz w:val="24"/>
                <w:szCs w:val="24"/>
                <w:vertAlign w:val="superscript"/>
              </w:rPr>
              <w:t>1</w:t>
            </w:r>
          </w:p>
        </w:tc>
        <w:tc>
          <w:tcPr>
            <w:tcW w:w="2360"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GB31701-2015 4.5.1、4.5.2</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24121</w:t>
            </w:r>
          </w:p>
        </w:tc>
        <w:tc>
          <w:tcPr>
            <w:tcW w:w="851" w:type="dxa"/>
            <w:noWrap w:val="0"/>
            <w:vAlign w:val="center"/>
          </w:tcPr>
          <w:p>
            <w:pPr>
              <w:jc w:val="center"/>
            </w:pPr>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vMerge w:val="restart"/>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15</w:t>
            </w:r>
          </w:p>
        </w:tc>
        <w:tc>
          <w:tcPr>
            <w:tcW w:w="1042" w:type="dxa"/>
            <w:vMerge w:val="restart"/>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使用说明</w:t>
            </w:r>
          </w:p>
        </w:tc>
        <w:tc>
          <w:tcPr>
            <w:tcW w:w="854"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基本安全技术要求类别</w:t>
            </w:r>
          </w:p>
        </w:tc>
        <w:tc>
          <w:tcPr>
            <w:tcW w:w="2360"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GB18401-2010 5.3</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GB31701-2015 4.1.4</w:t>
            </w:r>
          </w:p>
        </w:tc>
        <w:tc>
          <w:tcPr>
            <w:tcW w:w="1087" w:type="dxa"/>
            <w:vMerge w:val="restart"/>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vMerge w:val="restart"/>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目测</w:t>
            </w:r>
          </w:p>
        </w:tc>
        <w:tc>
          <w:tcPr>
            <w:tcW w:w="851" w:type="dxa"/>
            <w:vMerge w:val="restart"/>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cs="宋体"/>
                <w:bCs/>
                <w:sz w:val="24"/>
                <w:szCs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vMerge w:val="continue"/>
            <w:noWrap w:val="0"/>
            <w:vAlign w:val="center"/>
          </w:tcPr>
          <w:p>
            <w:pPr>
              <w:pStyle w:val="2"/>
              <w:snapToGrid w:val="0"/>
              <w:jc w:val="center"/>
              <w:rPr>
                <w:rFonts w:ascii="仿宋_GB2312" w:hAnsi="宋体" w:eastAsia="仿宋_GB2312"/>
                <w:sz w:val="24"/>
                <w:szCs w:val="24"/>
              </w:rPr>
            </w:pPr>
          </w:p>
        </w:tc>
        <w:tc>
          <w:tcPr>
            <w:tcW w:w="1042" w:type="dxa"/>
            <w:vMerge w:val="continue"/>
            <w:noWrap w:val="0"/>
            <w:vAlign w:val="center"/>
          </w:tcPr>
          <w:p>
            <w:pPr>
              <w:pStyle w:val="2"/>
              <w:snapToGrid w:val="0"/>
              <w:jc w:val="center"/>
              <w:rPr>
                <w:rFonts w:ascii="仿宋_GB2312" w:hAnsi="宋体" w:eastAsia="仿宋_GB2312"/>
                <w:sz w:val="24"/>
                <w:szCs w:val="24"/>
              </w:rPr>
            </w:pPr>
          </w:p>
        </w:tc>
        <w:tc>
          <w:tcPr>
            <w:tcW w:w="854"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其他</w:t>
            </w:r>
          </w:p>
        </w:tc>
        <w:tc>
          <w:tcPr>
            <w:tcW w:w="2360" w:type="dxa"/>
            <w:noWrap w:val="0"/>
            <w:vAlign w:val="center"/>
          </w:tcPr>
          <w:p>
            <w:pPr>
              <w:snapToGrid w:val="0"/>
              <w:jc w:val="center"/>
              <w:rPr>
                <w:rFonts w:ascii="仿宋_GB2312" w:hAnsi="宋体" w:eastAsia="仿宋_GB2312"/>
                <w:sz w:val="24"/>
              </w:rPr>
            </w:pPr>
            <w:r>
              <w:rPr>
                <w:rFonts w:hint="eastAsia" w:ascii="仿宋_GB2312" w:hAnsi="宋体" w:eastAsia="仿宋_GB2312"/>
                <w:sz w:val="24"/>
              </w:rPr>
              <w:t>SZJG16-2013 3.1</w:t>
            </w:r>
          </w:p>
          <w:p>
            <w:pPr>
              <w:snapToGrid w:val="0"/>
              <w:jc w:val="center"/>
              <w:rPr>
                <w:rFonts w:ascii="仿宋_GB2312" w:hAnsi="黑体" w:eastAsia="仿宋_GB2312"/>
                <w:sz w:val="24"/>
              </w:rPr>
            </w:pPr>
            <w:r>
              <w:rPr>
                <w:rFonts w:hint="eastAsia" w:ascii="仿宋_GB2312" w:hAnsi="宋体" w:eastAsia="仿宋_GB2312"/>
                <w:sz w:val="24"/>
              </w:rPr>
              <w:t>GB/T31888-2015 7.4相应产品标准</w:t>
            </w:r>
          </w:p>
        </w:tc>
        <w:tc>
          <w:tcPr>
            <w:tcW w:w="1087" w:type="dxa"/>
            <w:vMerge w:val="continue"/>
            <w:noWrap w:val="0"/>
            <w:vAlign w:val="center"/>
          </w:tcPr>
          <w:p>
            <w:pPr>
              <w:pStyle w:val="2"/>
              <w:snapToGrid w:val="0"/>
              <w:jc w:val="center"/>
              <w:rPr>
                <w:rFonts w:ascii="仿宋_GB2312" w:hAnsi="宋体" w:eastAsia="仿宋_GB2312"/>
                <w:sz w:val="24"/>
                <w:szCs w:val="24"/>
              </w:rPr>
            </w:pPr>
          </w:p>
        </w:tc>
        <w:tc>
          <w:tcPr>
            <w:tcW w:w="2693" w:type="dxa"/>
            <w:vMerge w:val="continue"/>
            <w:noWrap w:val="0"/>
            <w:vAlign w:val="center"/>
          </w:tcPr>
          <w:p>
            <w:pPr>
              <w:pStyle w:val="2"/>
              <w:snapToGrid w:val="0"/>
              <w:jc w:val="center"/>
              <w:rPr>
                <w:rFonts w:ascii="仿宋_GB2312" w:hAnsi="宋体" w:eastAsia="仿宋_GB2312"/>
                <w:sz w:val="24"/>
                <w:szCs w:val="24"/>
              </w:rPr>
            </w:pPr>
          </w:p>
        </w:tc>
        <w:tc>
          <w:tcPr>
            <w:tcW w:w="851" w:type="dxa"/>
            <w:vMerge w:val="continue"/>
            <w:noWrap w:val="0"/>
            <w:vAlign w:val="center"/>
          </w:tcPr>
          <w:p>
            <w:pPr>
              <w:pStyle w:val="2"/>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16</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水洗尺寸变化率</w:t>
            </w:r>
          </w:p>
        </w:tc>
        <w:tc>
          <w:tcPr>
            <w:tcW w:w="2360" w:type="dxa"/>
            <w:vMerge w:val="restart"/>
            <w:noWrap w:val="0"/>
            <w:vAlign w:val="center"/>
          </w:tcPr>
          <w:p>
            <w:pPr>
              <w:snapToGrid w:val="0"/>
              <w:jc w:val="center"/>
              <w:rPr>
                <w:rFonts w:ascii="仿宋_GB2312" w:hAnsi="黑体" w:eastAsia="仿宋_GB2312"/>
                <w:sz w:val="24"/>
              </w:rPr>
            </w:pPr>
            <w:r>
              <w:rPr>
                <w:rFonts w:hint="eastAsia" w:ascii="仿宋_GB2312" w:hAnsi="宋体" w:eastAsia="仿宋_GB2312"/>
                <w:sz w:val="24"/>
              </w:rPr>
              <w:t>SZJG16-2013 3.4、GB/T31888-2015 4.2相应产品标准</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23328、GB/T 22854、GB/T8628、GB/T8629、GB/T8630等</w:t>
            </w:r>
          </w:p>
        </w:tc>
        <w:tc>
          <w:tcPr>
            <w:tcW w:w="851"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17</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耐皂洗色牢度</w:t>
            </w:r>
          </w:p>
        </w:tc>
        <w:tc>
          <w:tcPr>
            <w:tcW w:w="2360" w:type="dxa"/>
            <w:vMerge w:val="continue"/>
            <w:noWrap w:val="0"/>
            <w:vAlign w:val="center"/>
          </w:tcPr>
          <w:p>
            <w:pPr>
              <w:snapToGrid w:val="0"/>
              <w:jc w:val="center"/>
              <w:rPr>
                <w:rFonts w:ascii="仿宋_GB2312" w:hAnsi="黑体" w:eastAsia="仿宋_GB2312"/>
                <w:sz w:val="24"/>
              </w:rPr>
            </w:pP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3921</w:t>
            </w:r>
          </w:p>
        </w:tc>
        <w:tc>
          <w:tcPr>
            <w:tcW w:w="851" w:type="dxa"/>
            <w:noWrap w:val="0"/>
            <w:vAlign w:val="top"/>
          </w:tcPr>
          <w:p>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18</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耐光色牢度</w:t>
            </w:r>
          </w:p>
        </w:tc>
        <w:tc>
          <w:tcPr>
            <w:tcW w:w="2360" w:type="dxa"/>
            <w:vMerge w:val="continue"/>
            <w:noWrap w:val="0"/>
            <w:vAlign w:val="center"/>
          </w:tcPr>
          <w:p>
            <w:pPr>
              <w:snapToGrid w:val="0"/>
              <w:jc w:val="center"/>
              <w:rPr>
                <w:rFonts w:ascii="仿宋_GB2312" w:hAnsi="黑体" w:eastAsia="仿宋_GB2312"/>
                <w:sz w:val="24"/>
              </w:rPr>
            </w:pP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8427</w:t>
            </w:r>
          </w:p>
        </w:tc>
        <w:tc>
          <w:tcPr>
            <w:tcW w:w="851" w:type="dxa"/>
            <w:noWrap w:val="0"/>
            <w:vAlign w:val="top"/>
          </w:tcPr>
          <w:p>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19</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（裤后裆）接缝强力</w:t>
            </w:r>
          </w:p>
        </w:tc>
        <w:tc>
          <w:tcPr>
            <w:tcW w:w="2360" w:type="dxa"/>
            <w:vMerge w:val="continue"/>
            <w:noWrap w:val="0"/>
            <w:vAlign w:val="center"/>
          </w:tcPr>
          <w:p>
            <w:pPr>
              <w:snapToGrid w:val="0"/>
              <w:jc w:val="center"/>
              <w:rPr>
                <w:rFonts w:ascii="仿宋_GB2312" w:hAnsi="黑体" w:eastAsia="仿宋_GB2312"/>
                <w:sz w:val="24"/>
              </w:rPr>
            </w:pP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3923.1、</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FZ/T 01031方法B、</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13773.1</w:t>
            </w:r>
          </w:p>
        </w:tc>
        <w:tc>
          <w:tcPr>
            <w:tcW w:w="851" w:type="dxa"/>
            <w:noWrap w:val="0"/>
            <w:vAlign w:val="top"/>
          </w:tcPr>
          <w:p>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20</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（面料）起球</w:t>
            </w:r>
          </w:p>
        </w:tc>
        <w:tc>
          <w:tcPr>
            <w:tcW w:w="2360" w:type="dxa"/>
            <w:vMerge w:val="continue"/>
            <w:noWrap w:val="0"/>
            <w:vAlign w:val="center"/>
          </w:tcPr>
          <w:p>
            <w:pPr>
              <w:snapToGrid w:val="0"/>
              <w:jc w:val="center"/>
              <w:rPr>
                <w:rFonts w:ascii="仿宋_GB2312" w:hAnsi="黑体" w:eastAsia="仿宋_GB2312"/>
                <w:sz w:val="24"/>
              </w:rPr>
            </w:pP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4802</w:t>
            </w:r>
          </w:p>
        </w:tc>
        <w:tc>
          <w:tcPr>
            <w:tcW w:w="851" w:type="dxa"/>
            <w:noWrap w:val="0"/>
            <w:vAlign w:val="top"/>
          </w:tcPr>
          <w:p>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21</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（面料）回潮率</w:t>
            </w:r>
          </w:p>
        </w:tc>
        <w:tc>
          <w:tcPr>
            <w:tcW w:w="2360" w:type="dxa"/>
            <w:noWrap w:val="0"/>
            <w:vAlign w:val="center"/>
          </w:tcPr>
          <w:p>
            <w:pPr>
              <w:snapToGrid w:val="0"/>
              <w:jc w:val="center"/>
              <w:rPr>
                <w:rFonts w:ascii="仿宋_GB2312" w:hAnsi="黑体" w:eastAsia="仿宋_GB2312"/>
                <w:sz w:val="24"/>
              </w:rPr>
            </w:pPr>
            <w:r>
              <w:rPr>
                <w:rFonts w:hint="eastAsia" w:ascii="仿宋_GB2312" w:hAnsi="宋体" w:eastAsia="仿宋_GB2312"/>
                <w:sz w:val="24"/>
              </w:rPr>
              <w:t>SZJG16-2013 3.4</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9995</w:t>
            </w:r>
          </w:p>
        </w:tc>
        <w:tc>
          <w:tcPr>
            <w:tcW w:w="851" w:type="dxa"/>
            <w:noWrap w:val="0"/>
            <w:vAlign w:val="top"/>
          </w:tcPr>
          <w:p>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22</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（面料）纱线线密度偏差率</w:t>
            </w:r>
          </w:p>
        </w:tc>
        <w:tc>
          <w:tcPr>
            <w:tcW w:w="2360" w:type="dxa"/>
            <w:noWrap w:val="0"/>
            <w:vAlign w:val="center"/>
          </w:tcPr>
          <w:p>
            <w:pPr>
              <w:snapToGrid w:val="0"/>
              <w:jc w:val="center"/>
              <w:rPr>
                <w:rFonts w:ascii="仿宋_GB2312" w:hAnsi="黑体" w:eastAsia="仿宋_GB2312"/>
                <w:sz w:val="24"/>
              </w:rPr>
            </w:pPr>
            <w:r>
              <w:rPr>
                <w:rFonts w:hint="eastAsia" w:ascii="仿宋_GB2312" w:hAnsi="宋体" w:eastAsia="仿宋_GB2312"/>
                <w:sz w:val="24"/>
              </w:rPr>
              <w:t>SZJG16-2013 3.4</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ascii="仿宋_GB2312" w:hAnsi="宋体" w:eastAsia="仿宋_GB2312"/>
                <w:sz w:val="24"/>
                <w:szCs w:val="24"/>
              </w:rPr>
              <w:t>GB/T29256.5</w:t>
            </w:r>
          </w:p>
        </w:tc>
        <w:tc>
          <w:tcPr>
            <w:tcW w:w="851" w:type="dxa"/>
            <w:noWrap w:val="0"/>
            <w:vAlign w:val="top"/>
          </w:tcPr>
          <w:p>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23</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接缝性能/接缝处纱线滑移</w:t>
            </w:r>
          </w:p>
        </w:tc>
        <w:tc>
          <w:tcPr>
            <w:tcW w:w="2360"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SZJG 16 3.4.1 GB/T31888-2015 4.2相应产品标准</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SZJG 16 附录B</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13773.1、GB/T 13772.2等</w:t>
            </w:r>
          </w:p>
        </w:tc>
        <w:tc>
          <w:tcPr>
            <w:tcW w:w="851" w:type="dxa"/>
            <w:noWrap w:val="0"/>
            <w:vAlign w:val="top"/>
          </w:tcPr>
          <w:p>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24</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面料经纬密度偏差率</w:t>
            </w:r>
          </w:p>
        </w:tc>
        <w:tc>
          <w:tcPr>
            <w:tcW w:w="2360"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SZJG 16 3.4.1</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4668</w:t>
            </w:r>
          </w:p>
        </w:tc>
        <w:tc>
          <w:tcPr>
            <w:tcW w:w="851" w:type="dxa"/>
            <w:noWrap w:val="0"/>
            <w:vAlign w:val="top"/>
          </w:tcPr>
          <w:p>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25</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水洗后扭曲率</w:t>
            </w:r>
          </w:p>
        </w:tc>
        <w:tc>
          <w:tcPr>
            <w:tcW w:w="2360" w:type="dxa"/>
            <w:vMerge w:val="restart"/>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SZJG 16 3.4.2</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GB/T31888-2015 4.2相应产品标准</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22854</w:t>
            </w:r>
          </w:p>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23319.3等</w:t>
            </w:r>
          </w:p>
        </w:tc>
        <w:tc>
          <w:tcPr>
            <w:tcW w:w="851"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26</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耐光、汗复合色牢度</w:t>
            </w:r>
          </w:p>
        </w:tc>
        <w:tc>
          <w:tcPr>
            <w:tcW w:w="2360" w:type="dxa"/>
            <w:vMerge w:val="continue"/>
            <w:noWrap w:val="0"/>
            <w:vAlign w:val="center"/>
          </w:tcPr>
          <w:p>
            <w:pPr>
              <w:pStyle w:val="2"/>
              <w:snapToGrid w:val="0"/>
              <w:jc w:val="center"/>
              <w:rPr>
                <w:rFonts w:ascii="仿宋_GB2312" w:hAnsi="宋体" w:eastAsia="仿宋_GB2312"/>
                <w:sz w:val="24"/>
                <w:szCs w:val="24"/>
              </w:rPr>
            </w:pP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14576</w:t>
            </w:r>
          </w:p>
        </w:tc>
        <w:tc>
          <w:tcPr>
            <w:tcW w:w="851" w:type="dxa"/>
            <w:noWrap w:val="0"/>
            <w:vAlign w:val="top"/>
          </w:tcPr>
          <w:p>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27</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顶破强力</w:t>
            </w:r>
          </w:p>
        </w:tc>
        <w:tc>
          <w:tcPr>
            <w:tcW w:w="2360" w:type="dxa"/>
            <w:vMerge w:val="continue"/>
            <w:noWrap w:val="0"/>
            <w:vAlign w:val="center"/>
          </w:tcPr>
          <w:p>
            <w:pPr>
              <w:pStyle w:val="2"/>
              <w:snapToGrid w:val="0"/>
              <w:jc w:val="center"/>
              <w:rPr>
                <w:rFonts w:ascii="仿宋_GB2312" w:hAnsi="宋体" w:eastAsia="仿宋_GB2312"/>
                <w:sz w:val="24"/>
                <w:szCs w:val="24"/>
              </w:rPr>
            </w:pP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19976</w:t>
            </w:r>
          </w:p>
        </w:tc>
        <w:tc>
          <w:tcPr>
            <w:tcW w:w="851" w:type="dxa"/>
            <w:noWrap w:val="0"/>
            <w:vAlign w:val="top"/>
          </w:tcPr>
          <w:p>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28</w:t>
            </w:r>
          </w:p>
        </w:tc>
        <w:tc>
          <w:tcPr>
            <w:tcW w:w="1896" w:type="dxa"/>
            <w:gridSpan w:val="2"/>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平方米质量偏差率</w:t>
            </w:r>
          </w:p>
        </w:tc>
        <w:tc>
          <w:tcPr>
            <w:tcW w:w="2360"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SZJG 16 3.4.2</w:t>
            </w:r>
          </w:p>
        </w:tc>
        <w:tc>
          <w:tcPr>
            <w:tcW w:w="1087"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强制性</w:t>
            </w:r>
          </w:p>
        </w:tc>
        <w:tc>
          <w:tcPr>
            <w:tcW w:w="2693"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GB/T 4669 方法5</w:t>
            </w:r>
          </w:p>
        </w:tc>
        <w:tc>
          <w:tcPr>
            <w:tcW w:w="851" w:type="dxa"/>
            <w:noWrap w:val="0"/>
            <w:vAlign w:val="top"/>
          </w:tcPr>
          <w:p>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29</w:t>
            </w:r>
          </w:p>
        </w:tc>
        <w:tc>
          <w:tcPr>
            <w:tcW w:w="1896"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断裂强力</w:t>
            </w:r>
          </w:p>
        </w:tc>
        <w:tc>
          <w:tcPr>
            <w:tcW w:w="236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GB/T31888-2015 4.2相应产品标准</w:t>
            </w:r>
          </w:p>
        </w:tc>
        <w:tc>
          <w:tcPr>
            <w:tcW w:w="108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693"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3923</w:t>
            </w:r>
          </w:p>
        </w:tc>
        <w:tc>
          <w:tcPr>
            <w:tcW w:w="851" w:type="dxa"/>
            <w:noWrap w:val="0"/>
            <w:vAlign w:val="top"/>
          </w:tcPr>
          <w:p>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30</w:t>
            </w:r>
          </w:p>
        </w:tc>
        <w:tc>
          <w:tcPr>
            <w:tcW w:w="1896"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胀破强力</w:t>
            </w:r>
          </w:p>
        </w:tc>
        <w:tc>
          <w:tcPr>
            <w:tcW w:w="236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GB/T31888-2015 4.2相应产品标准</w:t>
            </w:r>
          </w:p>
        </w:tc>
        <w:tc>
          <w:tcPr>
            <w:tcW w:w="108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693"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 7742</w:t>
            </w:r>
          </w:p>
        </w:tc>
        <w:tc>
          <w:tcPr>
            <w:tcW w:w="851" w:type="dxa"/>
            <w:noWrap w:val="0"/>
            <w:vAlign w:val="top"/>
          </w:tcPr>
          <w:p>
            <w:r>
              <w:rPr>
                <w:rFonts w:hint="eastAsia" w:ascii="仿宋_GB2312" w:hAnsi="宋体" w:eastAsia="仿宋_GB2312" w:cs="宋体"/>
                <w:bCs/>
                <w:sz w:val="24"/>
              </w:rPr>
              <w:t>原样/备样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5"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31</w:t>
            </w:r>
          </w:p>
        </w:tc>
        <w:tc>
          <w:tcPr>
            <w:tcW w:w="1896" w:type="dxa"/>
            <w:gridSpan w:val="2"/>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水洗后外观</w:t>
            </w:r>
          </w:p>
        </w:tc>
        <w:tc>
          <w:tcPr>
            <w:tcW w:w="2360"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GB/T31888-2015 4.2相应产品标准</w:t>
            </w:r>
          </w:p>
        </w:tc>
        <w:tc>
          <w:tcPr>
            <w:tcW w:w="1087"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693" w:type="dxa"/>
            <w:noWrap w:val="0"/>
            <w:vAlign w:val="center"/>
          </w:tcPr>
          <w:p>
            <w:pPr>
              <w:pStyle w:val="2"/>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相应产品标准</w:t>
            </w:r>
          </w:p>
        </w:tc>
        <w:tc>
          <w:tcPr>
            <w:tcW w:w="851" w:type="dxa"/>
            <w:noWrap w:val="0"/>
            <w:vAlign w:val="center"/>
          </w:tcPr>
          <w:p>
            <w:pPr>
              <w:pStyle w:val="2"/>
              <w:snapToGrid w:val="0"/>
              <w:spacing w:before="78" w:beforeLines="25" w:after="78" w:afterLines="25"/>
              <w:jc w:val="center"/>
              <w:rPr>
                <w:rFonts w:ascii="仿宋_GB2312" w:hAnsi="宋体" w:eastAsia="仿宋_GB2312" w:cs="宋体"/>
                <w:bCs/>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32" w:type="dxa"/>
            <w:gridSpan w:val="7"/>
            <w:noWrap w:val="0"/>
            <w:vAlign w:val="center"/>
          </w:tcPr>
          <w:p>
            <w:pPr>
              <w:pStyle w:val="2"/>
              <w:snapToGrid w:val="0"/>
              <w:spacing w:before="78" w:beforeLines="25" w:after="78" w:afterLines="25"/>
              <w:ind w:left="720" w:hanging="720" w:hangingChars="300"/>
              <w:rPr>
                <w:rFonts w:ascii="仿宋_GB2312" w:hAnsi="宋体" w:eastAsia="仿宋_GB2312"/>
                <w:sz w:val="24"/>
                <w:szCs w:val="24"/>
              </w:rPr>
            </w:pPr>
            <w:r>
              <w:rPr>
                <w:rFonts w:hint="eastAsia" w:ascii="仿宋_GB2312" w:hAnsi="宋体" w:eastAsia="仿宋_GB2312"/>
                <w:sz w:val="24"/>
                <w:szCs w:val="24"/>
              </w:rPr>
              <w:t>注：</w:t>
            </w:r>
          </w:p>
          <w:p>
            <w:pPr>
              <w:pStyle w:val="2"/>
              <w:snapToGrid w:val="0"/>
              <w:spacing w:before="78" w:beforeLines="25" w:after="78" w:afterLines="25"/>
              <w:ind w:left="720" w:hanging="720" w:hangingChars="300"/>
              <w:rPr>
                <w:rFonts w:ascii="仿宋_GB2312" w:hAnsi="宋体" w:eastAsia="仿宋_GB2312"/>
                <w:sz w:val="24"/>
                <w:szCs w:val="24"/>
              </w:rPr>
            </w:pPr>
            <w:r>
              <w:rPr>
                <w:rFonts w:hint="eastAsia" w:ascii="仿宋_GB2312" w:hAnsi="宋体" w:eastAsia="仿宋_GB2312"/>
                <w:sz w:val="24"/>
                <w:szCs w:val="24"/>
              </w:rPr>
              <w:t>1.序号11-14项目仅考核属于儿童纺织产品（定义详见GB31701）的中小学学生服。</w:t>
            </w:r>
          </w:p>
          <w:p>
            <w:pPr>
              <w:pStyle w:val="2"/>
              <w:snapToGrid w:val="0"/>
              <w:spacing w:before="78" w:beforeLines="25" w:after="78" w:afterLines="25"/>
              <w:rPr>
                <w:rFonts w:ascii="仿宋_GB2312" w:hAnsi="宋体" w:eastAsia="仿宋_GB2312"/>
                <w:sz w:val="24"/>
                <w:szCs w:val="24"/>
              </w:rPr>
            </w:pPr>
            <w:r>
              <w:rPr>
                <w:rFonts w:hint="eastAsia" w:ascii="仿宋_GB2312" w:hAnsi="宋体" w:eastAsia="仿宋_GB2312"/>
                <w:sz w:val="24"/>
                <w:szCs w:val="24"/>
              </w:rPr>
              <w:t>2.明示其他产品标准时，实际检验项目不应超出上述范围。</w:t>
            </w:r>
          </w:p>
          <w:p>
            <w:pPr>
              <w:pStyle w:val="2"/>
              <w:snapToGrid w:val="0"/>
              <w:spacing w:before="78" w:beforeLines="25" w:after="78" w:afterLines="25"/>
              <w:rPr>
                <w:rFonts w:ascii="仿宋_GB2312" w:hAnsi="宋体" w:eastAsia="仿宋_GB2312"/>
                <w:sz w:val="24"/>
                <w:szCs w:val="24"/>
              </w:rPr>
            </w:pPr>
            <w:r>
              <w:rPr>
                <w:rFonts w:hint="eastAsia" w:hAnsi="宋体" w:eastAsia="仿宋_GB2312" w:cs="宋体"/>
                <w:bCs/>
                <w:sz w:val="24"/>
              </w:rPr>
              <w:t>3.</w:t>
            </w:r>
            <w:r>
              <w:rPr>
                <w:rFonts w:hint="eastAsia" w:ascii="仿宋_GB2312" w:hAnsi="宋体" w:eastAsia="仿宋_GB2312"/>
                <w:sz w:val="24"/>
                <w:szCs w:val="24"/>
              </w:rPr>
              <w:t xml:space="preserve"> 水洗尺寸变化率、水洗后扭曲率和水洗后外观项目</w:t>
            </w:r>
            <w:r>
              <w:rPr>
                <w:rFonts w:hint="eastAsia" w:ascii="仿宋_GB2312" w:hAnsi="宋体" w:eastAsia="仿宋_GB2312" w:cs="宋体"/>
                <w:bCs/>
                <w:kern w:val="0"/>
                <w:sz w:val="24"/>
                <w:szCs w:val="24"/>
              </w:rPr>
              <w:t>复检时，选择备样作为复检样品，其他项目</w:t>
            </w:r>
            <w:r>
              <w:rPr>
                <w:rFonts w:ascii="仿宋_GB2312" w:hAnsi="宋体" w:eastAsia="仿宋_GB2312" w:cs="宋体"/>
                <w:bCs/>
                <w:kern w:val="0"/>
                <w:sz w:val="24"/>
                <w:szCs w:val="24"/>
              </w:rPr>
              <w:t>原则上用原样复检，当原样样本量不足时则用备样复检</w:t>
            </w:r>
            <w:r>
              <w:rPr>
                <w:rFonts w:hint="eastAsia" w:ascii="仿宋_GB2312" w:hAnsi="宋体" w:eastAsia="仿宋_GB2312" w:cs="宋体"/>
                <w:bCs/>
                <w:kern w:val="0"/>
                <w:sz w:val="24"/>
                <w:szCs w:val="24"/>
              </w:rPr>
              <w:t>。</w:t>
            </w:r>
          </w:p>
        </w:tc>
      </w:tr>
    </w:tbl>
    <w:p>
      <w:pPr>
        <w:snapToGrid w:val="0"/>
        <w:spacing w:line="360" w:lineRule="auto"/>
        <w:rPr>
          <w:rFonts w:ascii="仿宋_GB2312" w:hAnsi="宋体" w:eastAsia="仿宋_GB2312"/>
          <w:b/>
          <w:sz w:val="28"/>
          <w:szCs w:val="28"/>
        </w:rPr>
      </w:pPr>
    </w:p>
    <w:p>
      <w:pPr>
        <w:snapToGrid w:val="0"/>
        <w:spacing w:line="360" w:lineRule="auto"/>
        <w:rPr>
          <w:rFonts w:ascii="仿宋_GB2312" w:eastAsia="仿宋_GB2312" w:cs="Sim Sun"/>
          <w:b/>
          <w:kern w:val="0"/>
          <w:sz w:val="28"/>
          <w:szCs w:val="28"/>
        </w:rPr>
      </w:pPr>
      <w:r>
        <w:rPr>
          <w:rFonts w:hint="eastAsia" w:ascii="仿宋_GB2312" w:eastAsia="仿宋_GB2312" w:cs="Sim Sun"/>
          <w:b/>
          <w:kern w:val="0"/>
          <w:sz w:val="28"/>
          <w:szCs w:val="28"/>
        </w:rPr>
        <w:t>6.2 检验应注意的问题</w:t>
      </w:r>
    </w:p>
    <w:p>
      <w:pPr>
        <w:snapToGrid w:val="0"/>
        <w:spacing w:line="360" w:lineRule="auto"/>
        <w:ind w:firstLine="560" w:firstLineChars="200"/>
        <w:rPr>
          <w:rFonts w:ascii="仿宋_GB2312" w:eastAsia="仿宋_GB2312" w:cs="Sim Sun"/>
          <w:kern w:val="0"/>
          <w:sz w:val="28"/>
          <w:szCs w:val="28"/>
        </w:rPr>
      </w:pPr>
      <w:r>
        <w:rPr>
          <w:rFonts w:ascii="仿宋_GB2312" w:eastAsia="仿宋_GB2312" w:cs="Sim Sun"/>
          <w:kern w:val="0"/>
          <w:sz w:val="28"/>
          <w:szCs w:val="28"/>
        </w:rPr>
        <w:t>对于</w:t>
      </w:r>
      <w:r>
        <w:rPr>
          <w:rFonts w:hint="eastAsia" w:ascii="仿宋_GB2312" w:eastAsia="仿宋_GB2312" w:cs="Sim Sun"/>
          <w:kern w:val="0"/>
          <w:sz w:val="28"/>
          <w:szCs w:val="28"/>
        </w:rPr>
        <w:t>素</w:t>
      </w:r>
      <w:r>
        <w:rPr>
          <w:rFonts w:ascii="仿宋_GB2312" w:eastAsia="仿宋_GB2312" w:cs="Sim Sun"/>
          <w:kern w:val="0"/>
          <w:sz w:val="28"/>
          <w:szCs w:val="28"/>
        </w:rPr>
        <w:t>色</w:t>
      </w:r>
      <w:r>
        <w:rPr>
          <w:rFonts w:hint="eastAsia" w:ascii="仿宋_GB2312" w:eastAsia="仿宋_GB2312" w:cs="Sim Sun"/>
          <w:kern w:val="0"/>
          <w:sz w:val="28"/>
          <w:szCs w:val="28"/>
        </w:rPr>
        <w:t>、相同材质</w:t>
      </w:r>
      <w:r>
        <w:rPr>
          <w:rFonts w:ascii="仿宋_GB2312" w:eastAsia="仿宋_GB2312" w:cs="Sim Sun"/>
          <w:kern w:val="0"/>
          <w:sz w:val="28"/>
          <w:szCs w:val="28"/>
        </w:rPr>
        <w:t>、均匀混色或</w:t>
      </w:r>
      <w:r>
        <w:rPr>
          <w:rFonts w:hint="eastAsia" w:ascii="仿宋_GB2312" w:eastAsia="仿宋_GB2312" w:cs="Sim Sun"/>
          <w:kern w:val="0"/>
          <w:sz w:val="28"/>
          <w:szCs w:val="28"/>
        </w:rPr>
        <w:t>小循环印花、色织及</w:t>
      </w:r>
      <w:r>
        <w:rPr>
          <w:rFonts w:ascii="仿宋_GB2312" w:eastAsia="仿宋_GB2312" w:cs="Sim Sun"/>
          <w:kern w:val="0"/>
          <w:sz w:val="28"/>
          <w:szCs w:val="28"/>
        </w:rPr>
        <w:t>类似效果的</w:t>
      </w:r>
      <w:r>
        <w:rPr>
          <w:rFonts w:hint="eastAsia" w:ascii="仿宋_GB2312" w:eastAsia="仿宋_GB2312" w:cs="Sim Sun"/>
          <w:kern w:val="0"/>
          <w:sz w:val="28"/>
          <w:szCs w:val="28"/>
        </w:rPr>
        <w:t>材料</w:t>
      </w:r>
      <w:r>
        <w:rPr>
          <w:rFonts w:ascii="仿宋_GB2312" w:eastAsia="仿宋_GB2312" w:cs="Sim Sun"/>
          <w:kern w:val="0"/>
          <w:sz w:val="28"/>
          <w:szCs w:val="28"/>
        </w:rPr>
        <w:t>，</w:t>
      </w:r>
      <w:r>
        <w:rPr>
          <w:rFonts w:hint="eastAsia" w:ascii="仿宋_GB2312" w:eastAsia="仿宋_GB2312" w:cs="Sim Sun"/>
          <w:kern w:val="0"/>
          <w:sz w:val="28"/>
          <w:szCs w:val="28"/>
        </w:rPr>
        <w:t>按相应的试验方法标准规定取样</w:t>
      </w:r>
      <w:r>
        <w:rPr>
          <w:rFonts w:ascii="仿宋_GB2312" w:eastAsia="仿宋_GB2312" w:cs="Sim Sun"/>
          <w:kern w:val="0"/>
          <w:sz w:val="28"/>
          <w:szCs w:val="28"/>
        </w:rPr>
        <w:t>。</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对于花型循环较大或无规律的印花和色织产品，色牢度试验分别取各色相检测，以级别最低的作为试验结果。</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对于局部印花、独立印花或分散花型，取样应该包括印花图案中的各种颜色；如果这些印花色相不同，可分别取样。当局部印花图案很小时，只能在同一件样品中连同底布取足一个试样，不可从多个样品中剪取后合为一个试样。</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对于</w:t>
      </w:r>
      <w:r>
        <w:rPr>
          <w:rFonts w:ascii="仿宋_GB2312" w:eastAsia="仿宋_GB2312" w:cs="Sim Sun"/>
          <w:kern w:val="0"/>
          <w:sz w:val="28"/>
          <w:szCs w:val="28"/>
        </w:rPr>
        <w:t>可分解致癌芳香胺染料</w:t>
      </w:r>
      <w:r>
        <w:rPr>
          <w:rFonts w:hint="eastAsia" w:ascii="仿宋_GB2312" w:eastAsia="仿宋_GB2312" w:cs="Sim Sun"/>
          <w:kern w:val="0"/>
          <w:sz w:val="28"/>
          <w:szCs w:val="28"/>
        </w:rPr>
        <w:t>的试样，当混色取样时，同种材质的每个试样一般不可超过三种颜色，如混色检验检出阳性时，应分色重检。</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同一样品不同材质、不同色别或花型的</w:t>
      </w:r>
      <w:r>
        <w:rPr>
          <w:rFonts w:ascii="仿宋_GB2312" w:eastAsia="仿宋_GB2312" w:cs="Sim Sun"/>
          <w:kern w:val="0"/>
          <w:sz w:val="28"/>
          <w:szCs w:val="28"/>
        </w:rPr>
        <w:t>多组件组成</w:t>
      </w:r>
      <w:r>
        <w:rPr>
          <w:rFonts w:hint="eastAsia" w:ascii="仿宋_GB2312" w:eastAsia="仿宋_GB2312" w:cs="Sim Sun"/>
          <w:kern w:val="0"/>
          <w:sz w:val="28"/>
          <w:szCs w:val="28"/>
        </w:rPr>
        <w:t>的材料，需按不同组件分别取样检测各项目。对含多组件的产品，</w:t>
      </w:r>
      <w:r>
        <w:rPr>
          <w:rFonts w:ascii="仿宋_GB2312" w:eastAsia="仿宋_GB2312" w:cs="Sim Sun"/>
          <w:kern w:val="0"/>
          <w:sz w:val="28"/>
          <w:szCs w:val="28"/>
        </w:rPr>
        <w:t>重量不超过整件制品的1%的小型组件不考核</w:t>
      </w:r>
      <w:r>
        <w:rPr>
          <w:rFonts w:hint="eastAsia" w:ascii="仿宋_GB2312" w:eastAsia="仿宋_GB2312" w:cs="Sim Sun"/>
          <w:kern w:val="0"/>
          <w:sz w:val="28"/>
          <w:szCs w:val="28"/>
        </w:rPr>
        <w:t>(婴幼儿用品除外)。</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样品有局部印花、配料(拼料、辅料)的，若取样数量不能满足所有试验要求，应先取</w:t>
      </w:r>
      <w:r>
        <w:rPr>
          <w:rFonts w:ascii="仿宋_GB2312" w:eastAsia="仿宋_GB2312" w:cs="Sim Sun"/>
          <w:kern w:val="0"/>
          <w:sz w:val="28"/>
          <w:szCs w:val="28"/>
        </w:rPr>
        <w:t>可分解致癌芳香胺染料</w:t>
      </w:r>
      <w:r>
        <w:rPr>
          <w:rFonts w:hint="eastAsia" w:ascii="仿宋_GB2312" w:eastAsia="仿宋_GB2312" w:cs="Sim Sun"/>
          <w:kern w:val="0"/>
          <w:sz w:val="28"/>
          <w:szCs w:val="28"/>
        </w:rPr>
        <w:t>试样，然后依次取甲醛、色牢度、pH值试样。</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ascii="仿宋_GB2312" w:eastAsia="仿宋_GB2312" w:cs="Sim Sun"/>
          <w:kern w:val="0"/>
          <w:sz w:val="28"/>
          <w:szCs w:val="28"/>
        </w:rPr>
        <w:t xml:space="preserve"> pH值</w:t>
      </w:r>
      <w:r>
        <w:rPr>
          <w:rFonts w:hint="eastAsia" w:ascii="仿宋_GB2312" w:eastAsia="仿宋_GB2312" w:cs="Sim Sun"/>
          <w:kern w:val="0"/>
          <w:sz w:val="28"/>
          <w:szCs w:val="28"/>
        </w:rPr>
        <w:t>的测定用</w:t>
      </w:r>
      <w:r>
        <w:rPr>
          <w:rFonts w:ascii="仿宋_GB2312" w:eastAsia="仿宋_GB2312" w:cs="Sim Sun"/>
          <w:kern w:val="0"/>
          <w:sz w:val="28"/>
          <w:szCs w:val="28"/>
        </w:rPr>
        <w:t>0.1</w:t>
      </w:r>
      <w:r>
        <w:rPr>
          <w:rFonts w:hint="eastAsia" w:ascii="仿宋_GB2312" w:eastAsia="仿宋_GB2312" w:cs="Sim Sun"/>
          <w:kern w:val="0"/>
          <w:sz w:val="28"/>
          <w:szCs w:val="28"/>
        </w:rPr>
        <w:t xml:space="preserve"> </w:t>
      </w:r>
      <w:r>
        <w:rPr>
          <w:rFonts w:ascii="仿宋_GB2312" w:eastAsia="仿宋_GB2312" w:cs="Sim Sun"/>
          <w:kern w:val="0"/>
          <w:sz w:val="28"/>
          <w:szCs w:val="28"/>
        </w:rPr>
        <w:t>mol/L</w:t>
      </w:r>
      <w:r>
        <w:rPr>
          <w:rFonts w:hint="eastAsia" w:ascii="仿宋_GB2312" w:eastAsia="仿宋_GB2312" w:cs="Sim Sun"/>
          <w:kern w:val="0"/>
          <w:sz w:val="28"/>
          <w:szCs w:val="28"/>
        </w:rPr>
        <w:t>氯化钾溶液作为萃取介质，产品标准另有规定的按相应要求执行。</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 xml:space="preserve">6.2.3 </w:t>
      </w:r>
      <w:r>
        <w:rPr>
          <w:rFonts w:ascii="仿宋_GB2312" w:eastAsia="仿宋_GB2312" w:cs="Sim Sun"/>
          <w:kern w:val="0"/>
          <w:sz w:val="28"/>
          <w:szCs w:val="28"/>
        </w:rPr>
        <w:t>可分解致癌芳香胺染料检测</w:t>
      </w:r>
      <w:r>
        <w:rPr>
          <w:rFonts w:hint="eastAsia" w:ascii="仿宋_GB2312" w:eastAsia="仿宋_GB2312" w:cs="Sim Sun"/>
          <w:kern w:val="0"/>
          <w:sz w:val="28"/>
          <w:szCs w:val="28"/>
        </w:rPr>
        <w:t>采用GC/MS内标法。出现阳性结果时按GB/T 17592进行确认，建议用HPLC/DAD进行确认。含涂层、粘合剂或氨纶的产品一般不作预处理，即涂层、粘合剂不刮除，氨纶不拆出。对未经过染色或印花工艺的产品可不检测</w:t>
      </w:r>
      <w:r>
        <w:rPr>
          <w:rFonts w:ascii="仿宋_GB2312" w:eastAsia="仿宋_GB2312" w:cs="Sim Sun"/>
          <w:kern w:val="0"/>
          <w:sz w:val="28"/>
          <w:szCs w:val="28"/>
        </w:rPr>
        <w:t>可分解致癌芳香胺染料</w:t>
      </w:r>
      <w:r>
        <w:rPr>
          <w:rFonts w:hint="eastAsia" w:ascii="仿宋_GB2312" w:eastAsia="仿宋_GB2312" w:cs="Sim Sun"/>
          <w:kern w:val="0"/>
          <w:sz w:val="28"/>
          <w:szCs w:val="28"/>
        </w:rPr>
        <w:t>。</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6.2.4</w:t>
      </w:r>
      <w:r>
        <w:rPr>
          <w:rFonts w:hint="eastAsia" w:ascii="仿宋_GB2312" w:eastAsia="仿宋_GB2312" w:cs="Sim Sun"/>
          <w:kern w:val="0"/>
          <w:sz w:val="28"/>
          <w:szCs w:val="28"/>
        </w:rPr>
        <w:t xml:space="preserve"> 色牢度试验采用单纤维贴衬。</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 xml:space="preserve">6.2.5 </w:t>
      </w:r>
      <w:r>
        <w:rPr>
          <w:rFonts w:hint="eastAsia" w:ascii="仿宋_GB2312" w:eastAsia="仿宋_GB2312" w:cs="Sim Sun"/>
          <w:kern w:val="0"/>
          <w:sz w:val="28"/>
          <w:szCs w:val="28"/>
        </w:rPr>
        <w:t>考虑到样品存在的不均匀性和检验的可靠性，样品中检测出微量其他纤维（未明示）时，如果其他纤维（未明示）的含量≤1%，或样品明示含微量其他纤维而未检出时，该微量其他纤维不计入总量进行判定。</w:t>
      </w:r>
    </w:p>
    <w:p>
      <w:pPr>
        <w:snapToGrid w:val="0"/>
        <w:spacing w:line="360" w:lineRule="auto"/>
        <w:rPr>
          <w:rFonts w:ascii="仿宋_GB2312" w:eastAsia="仿宋_GB2312" w:cs="Sim Sun"/>
          <w:kern w:val="0"/>
          <w:sz w:val="28"/>
          <w:szCs w:val="28"/>
        </w:rPr>
      </w:pPr>
      <w:r>
        <w:rPr>
          <w:rFonts w:hint="eastAsia" w:ascii="仿宋_GB2312" w:eastAsia="仿宋_GB2312" w:cs="Sim Sun"/>
          <w:b/>
          <w:bCs/>
          <w:kern w:val="0"/>
          <w:sz w:val="28"/>
          <w:szCs w:val="28"/>
        </w:rPr>
        <w:t xml:space="preserve">6.2.6 </w:t>
      </w:r>
      <w:r>
        <w:rPr>
          <w:rFonts w:hint="eastAsia" w:ascii="仿宋_GB2312" w:eastAsia="仿宋_GB2312" w:cs="Sim Sun"/>
          <w:kern w:val="0"/>
          <w:sz w:val="28"/>
          <w:szCs w:val="28"/>
        </w:rPr>
        <w:t>纤维含量仅考核产品明示标注有纤维含量信息的产品，若使用说明中存在多种形式的纤维含量信息标注不一致时，则需按照各种形式标注的信息进行综合判定。</w:t>
      </w:r>
    </w:p>
    <w:p>
      <w:pPr>
        <w:snapToGrid w:val="0"/>
        <w:spacing w:line="360" w:lineRule="auto"/>
        <w:rPr>
          <w:rFonts w:ascii="仿宋_GB2312" w:eastAsia="仿宋_GB2312" w:cs="Sim Sun"/>
          <w:kern w:val="0"/>
          <w:sz w:val="28"/>
          <w:szCs w:val="28"/>
        </w:rPr>
      </w:pPr>
      <w:r>
        <w:rPr>
          <w:rFonts w:hint="eastAsia" w:ascii="仿宋_GB2312" w:eastAsia="仿宋_GB2312" w:cs="Sim Sun"/>
          <w:b/>
          <w:bCs/>
          <w:kern w:val="0"/>
          <w:sz w:val="28"/>
          <w:szCs w:val="28"/>
        </w:rPr>
        <w:t xml:space="preserve">6.2.7 </w:t>
      </w:r>
      <w:r>
        <w:rPr>
          <w:rFonts w:hint="eastAsia" w:ascii="仿宋_GB2312" w:eastAsia="仿宋_GB2312" w:cs="Sim Sun"/>
          <w:kern w:val="0"/>
          <w:sz w:val="28"/>
          <w:szCs w:val="28"/>
        </w:rPr>
        <w:t>产品标明安全类别的，按明示分类进行归类考核；产品未标明安全类别或明示分类明显不符合</w:t>
      </w:r>
      <w:r>
        <w:rPr>
          <w:rFonts w:ascii="仿宋_GB2312" w:eastAsia="仿宋_GB2312" w:cs="Sim Sun"/>
          <w:kern w:val="0"/>
          <w:sz w:val="28"/>
          <w:szCs w:val="28"/>
        </w:rPr>
        <w:t>GB 18401</w:t>
      </w:r>
      <w:r>
        <w:rPr>
          <w:rFonts w:hint="eastAsia" w:ascii="仿宋_GB2312" w:eastAsia="仿宋_GB2312" w:cs="Sim Sun"/>
          <w:kern w:val="0"/>
          <w:sz w:val="28"/>
          <w:szCs w:val="28"/>
        </w:rPr>
        <w:t>（或</w:t>
      </w:r>
      <w:r>
        <w:rPr>
          <w:rFonts w:ascii="仿宋_GB2312" w:eastAsia="仿宋_GB2312" w:cs="Sim Sun"/>
          <w:kern w:val="0"/>
          <w:sz w:val="28"/>
          <w:szCs w:val="28"/>
        </w:rPr>
        <w:t>GB 31701</w:t>
      </w:r>
      <w:r>
        <w:rPr>
          <w:rFonts w:hint="eastAsia" w:ascii="仿宋_GB2312" w:eastAsia="仿宋_GB2312" w:cs="Sim Sun"/>
          <w:kern w:val="0"/>
          <w:sz w:val="28"/>
          <w:szCs w:val="28"/>
        </w:rPr>
        <w:t>）标准分类方法时，按</w:t>
      </w:r>
      <w:r>
        <w:rPr>
          <w:rFonts w:ascii="仿宋_GB2312" w:eastAsia="仿宋_GB2312" w:cs="Sim Sun"/>
          <w:kern w:val="0"/>
          <w:sz w:val="28"/>
          <w:szCs w:val="28"/>
        </w:rPr>
        <w:t>GB 18401</w:t>
      </w:r>
      <w:r>
        <w:rPr>
          <w:rFonts w:hint="eastAsia" w:ascii="仿宋_GB2312" w:eastAsia="仿宋_GB2312" w:cs="Sim Sun"/>
          <w:kern w:val="0"/>
          <w:sz w:val="28"/>
          <w:szCs w:val="28"/>
        </w:rPr>
        <w:t>（或</w:t>
      </w:r>
      <w:r>
        <w:rPr>
          <w:rFonts w:ascii="仿宋_GB2312" w:eastAsia="仿宋_GB2312" w:cs="Sim Sun"/>
          <w:kern w:val="0"/>
          <w:sz w:val="28"/>
          <w:szCs w:val="28"/>
        </w:rPr>
        <w:t>GB 31701</w:t>
      </w:r>
      <w:r>
        <w:rPr>
          <w:rFonts w:hint="eastAsia" w:ascii="仿宋_GB2312" w:eastAsia="仿宋_GB2312" w:cs="Sim Sun"/>
          <w:kern w:val="0"/>
          <w:sz w:val="28"/>
          <w:szCs w:val="28"/>
        </w:rPr>
        <w:t>）标准规定的产品分类方法进行归类考核。</w:t>
      </w:r>
    </w:p>
    <w:p>
      <w:pPr>
        <w:snapToGrid w:val="0"/>
        <w:spacing w:line="360" w:lineRule="auto"/>
        <w:rPr>
          <w:rFonts w:ascii="仿宋_GB2312" w:eastAsia="仿宋_GB2312" w:cs="Sim Sun"/>
          <w:color w:val="000000"/>
          <w:kern w:val="0"/>
          <w:sz w:val="28"/>
          <w:szCs w:val="28"/>
        </w:rPr>
      </w:pPr>
      <w:r>
        <w:rPr>
          <w:rFonts w:hint="eastAsia" w:ascii="仿宋_GB2312" w:eastAsia="仿宋_GB2312" w:cs="Sim Sun"/>
          <w:b/>
          <w:kern w:val="0"/>
          <w:sz w:val="28"/>
          <w:szCs w:val="28"/>
        </w:rPr>
        <w:t xml:space="preserve">6.2.8 </w:t>
      </w:r>
      <w:r>
        <w:rPr>
          <w:rFonts w:hint="eastAsia" w:ascii="仿宋_GB2312" w:eastAsia="仿宋_GB2312" w:cs="Sim Sun"/>
          <w:kern w:val="0"/>
          <w:sz w:val="28"/>
          <w:szCs w:val="28"/>
        </w:rPr>
        <w:t>检验机构接收样品应当有专人负责检查、记录样品的外观、状态、</w:t>
      </w:r>
      <w:r>
        <w:rPr>
          <w:rFonts w:hint="eastAsia" w:ascii="仿宋_GB2312" w:eastAsia="仿宋_GB2312" w:cs="Sim Sun"/>
          <w:color w:val="000000"/>
          <w:kern w:val="0"/>
          <w:sz w:val="28"/>
          <w:szCs w:val="28"/>
        </w:rPr>
        <w:t>封条有无破损及其他可能对检测结果或者综合判定产生影响的情况，并确认样品与抽样单的记录是否相符，对检测和备用样品分别加贴相应标识后入库。</w:t>
      </w:r>
    </w:p>
    <w:p>
      <w:pPr>
        <w:snapToGrid w:val="0"/>
        <w:spacing w:line="360" w:lineRule="auto"/>
        <w:rPr>
          <w:rFonts w:ascii="仿宋_GB2312" w:eastAsia="仿宋_GB2312"/>
          <w:sz w:val="28"/>
          <w:szCs w:val="28"/>
        </w:rPr>
      </w:pPr>
      <w:r>
        <w:rPr>
          <w:rFonts w:hint="eastAsia" w:ascii="仿宋_GB2312" w:eastAsia="仿宋_GB2312"/>
          <w:b/>
          <w:sz w:val="28"/>
          <w:szCs w:val="28"/>
        </w:rPr>
        <w:t xml:space="preserve">6.2.9 </w:t>
      </w:r>
      <w:r>
        <w:rPr>
          <w:rFonts w:hint="eastAsia" w:ascii="仿宋_GB2312" w:eastAsia="仿宋_GB2312"/>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sz w:val="28"/>
          <w:szCs w:val="28"/>
        </w:rPr>
      </w:pPr>
      <w:r>
        <w:rPr>
          <w:rFonts w:hint="eastAsia" w:ascii="仿宋_GB2312" w:eastAsia="仿宋_GB2312"/>
          <w:b/>
          <w:sz w:val="28"/>
          <w:szCs w:val="28"/>
        </w:rPr>
        <w:t>6.2.10</w:t>
      </w:r>
      <w:r>
        <w:rPr>
          <w:rFonts w:hint="eastAsia" w:ascii="仿宋_GB2312" w:eastAsia="仿宋_GB2312"/>
          <w:sz w:val="28"/>
          <w:szCs w:val="28"/>
        </w:rPr>
        <w:t>若被检产品明示的质量要求低于或缺少本规范中检验项目依据的强制性标准要求时，应按照强制性标准要求判定。</w:t>
      </w:r>
    </w:p>
    <w:p>
      <w:pPr>
        <w:snapToGrid w:val="0"/>
        <w:spacing w:line="360" w:lineRule="auto"/>
        <w:rPr>
          <w:rFonts w:ascii="仿宋_GB2312" w:eastAsia="仿宋_GB2312"/>
          <w:sz w:val="28"/>
          <w:szCs w:val="28"/>
        </w:rPr>
      </w:pPr>
      <w:r>
        <w:rPr>
          <w:rFonts w:hint="eastAsia" w:ascii="仿宋_GB2312" w:eastAsia="仿宋_GB2312"/>
          <w:b/>
          <w:sz w:val="28"/>
          <w:szCs w:val="28"/>
        </w:rPr>
        <w:t>6.2.11</w:t>
      </w:r>
      <w:r>
        <w:rPr>
          <w:rFonts w:ascii="仿宋_GB2312" w:eastAsia="仿宋_GB2312"/>
          <w:sz w:val="28"/>
          <w:szCs w:val="28"/>
        </w:rPr>
        <w:t xml:space="preserve"> SZJG 16-2013《中小学学生服质量要求》适用于</w:t>
      </w:r>
      <w:r>
        <w:rPr>
          <w:rFonts w:hint="eastAsia" w:ascii="仿宋_GB2312" w:eastAsia="仿宋_GB2312"/>
          <w:sz w:val="28"/>
          <w:szCs w:val="28"/>
        </w:rPr>
        <w:t>面向深圳中小学学生销售的</w:t>
      </w:r>
      <w:r>
        <w:rPr>
          <w:rFonts w:ascii="仿宋_GB2312" w:eastAsia="仿宋_GB2312"/>
          <w:sz w:val="28"/>
          <w:szCs w:val="28"/>
        </w:rPr>
        <w:t>中小学学生服时，属于强制性要求</w:t>
      </w:r>
      <w:r>
        <w:rPr>
          <w:rFonts w:hint="eastAsia" w:ascii="仿宋_GB2312" w:eastAsia="仿宋_GB2312"/>
          <w:sz w:val="28"/>
          <w:szCs w:val="28"/>
        </w:rPr>
        <w:t>。</w:t>
      </w:r>
    </w:p>
    <w:p>
      <w:pPr>
        <w:snapToGrid w:val="0"/>
        <w:spacing w:line="360" w:lineRule="auto"/>
        <w:rPr>
          <w:rFonts w:ascii="仿宋_GB2312" w:eastAsia="仿宋_GB2312" w:cs="Sim Sun"/>
          <w:b/>
          <w:kern w:val="0"/>
          <w:sz w:val="28"/>
          <w:szCs w:val="28"/>
        </w:rPr>
      </w:pPr>
      <w:r>
        <w:rPr>
          <w:rFonts w:hint="eastAsia" w:ascii="仿宋_GB2312" w:eastAsia="仿宋_GB2312" w:cs="Sim Sun"/>
          <w:b/>
          <w:kern w:val="0"/>
          <w:sz w:val="28"/>
          <w:szCs w:val="28"/>
        </w:rPr>
        <w:t>7 判定原则</w:t>
      </w:r>
    </w:p>
    <w:p>
      <w:pPr>
        <w:snapToGrid w:val="0"/>
        <w:spacing w:line="360" w:lineRule="auto"/>
        <w:rPr>
          <w:rFonts w:ascii="仿宋_GB2312" w:eastAsia="仿宋_GB2312" w:cs="Sim Sun"/>
          <w:kern w:val="0"/>
          <w:sz w:val="28"/>
          <w:szCs w:val="28"/>
        </w:rPr>
      </w:pPr>
      <w:r>
        <w:rPr>
          <w:rFonts w:hint="eastAsia" w:ascii="仿宋_GB2312" w:eastAsia="仿宋_GB2312" w:cs="Sim Sun"/>
          <w:color w:val="000000"/>
          <w:kern w:val="0"/>
          <w:sz w:val="28"/>
          <w:szCs w:val="28"/>
        </w:rPr>
        <w:t>经检验，所检样品全部项目合格，判该产品本次监督抽查结果合格；</w:t>
      </w:r>
      <w:r>
        <w:rPr>
          <w:rFonts w:hint="eastAsia" w:ascii="仿宋_GB2312" w:eastAsia="仿宋_GB2312" w:cs="Sim Sun"/>
          <w:kern w:val="0"/>
          <w:sz w:val="28"/>
          <w:szCs w:val="28"/>
        </w:rPr>
        <w:t>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60" w:lineRule="auto"/>
        <w:rPr>
          <w:rFonts w:ascii="仿宋_GB2312" w:eastAsia="仿宋_GB2312" w:cs="Sim Sun"/>
          <w:b/>
          <w:kern w:val="0"/>
          <w:sz w:val="28"/>
          <w:szCs w:val="28"/>
        </w:rPr>
      </w:pPr>
      <w:r>
        <w:rPr>
          <w:rFonts w:hint="eastAsia" w:ascii="仿宋_GB2312" w:eastAsia="仿宋_GB2312" w:cs="Sim Sun"/>
          <w:b/>
          <w:kern w:val="0"/>
          <w:sz w:val="28"/>
          <w:szCs w:val="28"/>
        </w:rPr>
        <w:t>8异议处理复检</w:t>
      </w:r>
    </w:p>
    <w:p>
      <w:pPr>
        <w:snapToGrid w:val="0"/>
        <w:spacing w:line="360" w:lineRule="auto"/>
        <w:rPr>
          <w:rFonts w:ascii="仿宋_GB2312" w:hAnsi="宋体" w:eastAsia="仿宋_GB2312"/>
          <w:iCs/>
          <w:sz w:val="28"/>
          <w:szCs w:val="28"/>
        </w:rPr>
      </w:pPr>
      <w:r>
        <w:rPr>
          <w:rFonts w:hint="eastAsia" w:ascii="仿宋_GB2312" w:hAnsi="宋体" w:eastAsia="仿宋_GB2312"/>
          <w:b/>
          <w:iCs/>
          <w:sz w:val="28"/>
          <w:szCs w:val="28"/>
        </w:rPr>
        <w:t>8.1</w:t>
      </w:r>
      <w:r>
        <w:rPr>
          <w:rFonts w:hint="eastAsia" w:ascii="仿宋_GB2312" w:hAnsi="宋体" w:eastAsia="仿宋_GB2312"/>
          <w:iCs/>
          <w:sz w:val="28"/>
          <w:szCs w:val="28"/>
        </w:rPr>
        <w:t>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ascii="仿宋_GB2312" w:hAnsi="宋体" w:eastAsia="仿宋_GB2312"/>
          <w:iCs/>
          <w:sz w:val="28"/>
          <w:szCs w:val="28"/>
        </w:rPr>
      </w:pPr>
      <w:r>
        <w:rPr>
          <w:rFonts w:hint="eastAsia" w:ascii="仿宋_GB2312" w:hAnsi="宋体" w:eastAsia="仿宋_GB2312"/>
          <w:b/>
          <w:iCs/>
          <w:sz w:val="28"/>
          <w:szCs w:val="28"/>
        </w:rPr>
        <w:t>8.2</w:t>
      </w:r>
      <w:r>
        <w:rPr>
          <w:rFonts w:hint="eastAsia" w:ascii="仿宋_GB2312" w:hAnsi="宋体" w:eastAsia="仿宋_GB2312"/>
          <w:iCs/>
          <w:sz w:val="28"/>
          <w:szCs w:val="28"/>
        </w:rPr>
        <w:t>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pPr>
        <w:snapToGrid w:val="0"/>
        <w:spacing w:line="360" w:lineRule="auto"/>
        <w:rPr>
          <w:rFonts w:ascii="仿宋_GB2312" w:eastAsia="仿宋_GB2312" w:cs="Sim Sun"/>
          <w:iCs/>
          <w:kern w:val="0"/>
          <w:sz w:val="28"/>
          <w:szCs w:val="28"/>
        </w:rPr>
      </w:pPr>
      <w:r>
        <w:rPr>
          <w:rFonts w:hint="eastAsia" w:ascii="仿宋_GB2312" w:hAnsi="宋体" w:eastAsia="仿宋_GB2312"/>
          <w:b/>
          <w:iCs/>
          <w:sz w:val="28"/>
          <w:szCs w:val="28"/>
        </w:rPr>
        <w:t>8.3</w:t>
      </w:r>
      <w:r>
        <w:rPr>
          <w:rFonts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360" w:lineRule="auto"/>
        <w:rPr>
          <w:rFonts w:hint="eastAsia" w:ascii="仿宋_GB2312" w:hAnsi="宋体" w:eastAsia="仿宋_GB2312"/>
          <w:bCs/>
          <w:iCs/>
          <w:sz w:val="28"/>
          <w:szCs w:val="28"/>
        </w:rPr>
      </w:pPr>
      <w:r>
        <w:rPr>
          <w:rFonts w:hint="eastAsia" w:ascii="仿宋_GB2312" w:hAnsi="宋体" w:eastAsia="仿宋_GB2312"/>
          <w:b/>
          <w:iCs/>
          <w:sz w:val="28"/>
          <w:szCs w:val="28"/>
        </w:rPr>
        <w:t>8.4</w:t>
      </w:r>
      <w:r>
        <w:rPr>
          <w:rFonts w:hint="eastAsia" w:ascii="仿宋_GB2312" w:hAnsi="宋体" w:eastAsia="仿宋_GB2312"/>
          <w:bCs/>
          <w:iCs/>
          <w:sz w:val="28"/>
          <w:szCs w:val="28"/>
        </w:rPr>
        <w:t>若复检机构与初检机构为同一家机构，则复验检验人员与初检检验人员不得为同一人（含审核人员）。</w:t>
      </w:r>
    </w:p>
    <w:p>
      <w:pPr>
        <w:snapToGrid w:val="0"/>
        <w:spacing w:line="360" w:lineRule="auto"/>
        <w:rPr>
          <w:rFonts w:hint="eastAsia" w:ascii="仿宋_GB2312" w:hAnsi="宋体" w:eastAsia="仿宋_GB2312"/>
          <w:iCs/>
          <w:sz w:val="28"/>
          <w:szCs w:val="28"/>
        </w:rPr>
      </w:pPr>
      <w:r>
        <w:rPr>
          <w:rFonts w:hint="eastAsia" w:ascii="仿宋_GB2312" w:hAnsi="宋体" w:eastAsia="仿宋_GB2312"/>
          <w:b/>
          <w:bCs/>
          <w:iCs/>
          <w:sz w:val="28"/>
          <w:szCs w:val="28"/>
        </w:rPr>
        <w:t>8.5</w:t>
      </w:r>
      <w:r>
        <w:rPr>
          <w:rFonts w:hint="eastAsia" w:ascii="仿宋_GB2312" w:hAnsi="宋体" w:eastAsia="仿宋_GB2312"/>
          <w:iCs/>
          <w:sz w:val="28"/>
          <w:szCs w:val="28"/>
        </w:rPr>
        <w:t>需对不合格项目复检时，按6.1选择复检样品。</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sz w:val="28"/>
          <w:szCs w:val="28"/>
        </w:rPr>
        <w:t>8.6</w:t>
      </w:r>
      <w:r>
        <w:rPr>
          <w:rFonts w:hint="eastAsia" w:ascii="仿宋_GB2312" w:hAnsi="宋体" w:eastAsia="仿宋_GB2312"/>
          <w:iCs/>
          <w:sz w:val="28"/>
          <w:szCs w:val="28"/>
        </w:rPr>
        <w:t xml:space="preserve"> 深圳市市场监督管理局根据初检、复检结果及企业提交的证明材料，</w:t>
      </w:r>
      <w:r>
        <w:rPr>
          <w:rFonts w:hint="eastAsia" w:ascii="仿宋_GB2312" w:hAnsi="宋体" w:eastAsia="仿宋_GB2312"/>
          <w:iCs/>
          <w:color w:val="000000"/>
          <w:sz w:val="28"/>
          <w:szCs w:val="28"/>
        </w:rPr>
        <w:t>做出复检结论，复检结论为最终结论。</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9附则</w:t>
      </w:r>
    </w:p>
    <w:p>
      <w:pPr>
        <w:snapToGrid w:val="0"/>
        <w:spacing w:line="360" w:lineRule="auto"/>
        <w:ind w:firstLine="560" w:firstLineChars="200"/>
        <w:rPr>
          <w:rFonts w:ascii="仿宋_GB2312" w:hAnsi="宋体" w:eastAsia="仿宋_GB2312"/>
          <w:iCs/>
          <w:sz w:val="28"/>
          <w:szCs w:val="28"/>
        </w:rPr>
      </w:pPr>
      <w:r>
        <w:rPr>
          <w:rFonts w:hint="eastAsia" w:ascii="仿宋_GB2312" w:hAnsi="宋体" w:eastAsia="仿宋_GB2312"/>
          <w:iCs/>
          <w:sz w:val="28"/>
          <w:szCs w:val="28"/>
        </w:rPr>
        <w:t>本规范编制单位：深圳市计量质量检测研究院。</w:t>
      </w:r>
    </w:p>
    <w:p>
      <w:pPr>
        <w:snapToGrid w:val="0"/>
        <w:spacing w:line="360" w:lineRule="auto"/>
        <w:ind w:firstLine="560" w:firstLineChars="200"/>
      </w:pPr>
      <w:r>
        <w:rPr>
          <w:rFonts w:hint="eastAsia" w:ascii="仿宋_GB2312" w:hAnsi="宋体" w:eastAsia="仿宋_GB2312"/>
          <w:iCs/>
          <w:sz w:val="28"/>
          <w:szCs w:val="28"/>
        </w:rPr>
        <w:t>本规范由深圳市市场监督管理局质量处管理。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Sim Sun">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3E5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2020-04-09T09:43:27Z</dcterms:created>
  <dc:creator>changmy</dc:creator>
  <cp:lastModifiedBy>常孟园</cp:lastModifiedBy>
  <dcterms:modified xsi:type="dcterms:W3CDTF">2020-04-09T09:43:56Z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